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AAC" w:rsidRPr="004D08A9" w:rsidRDefault="00CE7A2A" w:rsidP="00B2380D">
      <w:pPr>
        <w:spacing w:line="288" w:lineRule="auto"/>
        <w:jc w:val="center"/>
      </w:pPr>
      <w:r w:rsidRPr="004D08A9">
        <w:rPr>
          <w:noProof/>
          <w:lang w:val="en-US" w:eastAsia="en-US"/>
        </w:rPr>
        <w:drawing>
          <wp:inline distT="0" distB="0" distL="0" distR="0">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0647" w:rsidRPr="004D08A9">
        <w:rPr>
          <w:noProof/>
          <w:sz w:val="20"/>
          <w:lang w:val="en-US" w:eastAsia="en-US"/>
        </w:rPr>
        <mc:AlternateContent>
          <mc:Choice Requires="wps">
            <w:drawing>
              <wp:anchor distT="0" distB="0" distL="114300" distR="114300" simplePos="0" relativeHeight="251659264" behindDoc="1" locked="0" layoutInCell="0" allowOverlap="1" wp14:anchorId="02A9714E" wp14:editId="396C81F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AAC" w:rsidRPr="004D08A9" w:rsidRDefault="00AD5AAC" w:rsidP="00AD5AAC">
                            <w:pPr>
                              <w:jc w:val="center"/>
                              <w:rPr>
                                <w:rFonts w:ascii="Arial" w:hAnsi="Arial" w:cs="Arial"/>
                                <w:b/>
                                <w:bCs/>
                                <w:sz w:val="48"/>
                              </w:rPr>
                            </w:pPr>
                            <w:r w:rsidRPr="004D08A9">
                              <w:rPr>
                                <w:rFonts w:ascii="Arial" w:hAnsi="Arial"/>
                                <w:b/>
                                <w:bCs/>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9714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AD5AAC" w:rsidRPr="004D08A9" w:rsidRDefault="00AD5AAC" w:rsidP="00AD5AAC">
                      <w:pPr>
                        <w:jc w:val="center"/>
                        <w:rPr>
                          <w:rFonts w:ascii="Arial" w:hAnsi="Arial" w:cs="Arial"/>
                          <w:b/>
                          <w:bCs/>
                          <w:sz w:val="48"/>
                        </w:rPr>
                      </w:pPr>
                      <w:r w:rsidRPr="004D08A9">
                        <w:rPr>
                          <w:rFonts w:ascii="Arial" w:hAnsi="Arial"/>
                          <w:b/>
                          <w:bCs/>
                          <w:sz w:val="48"/>
                        </w:rPr>
                        <w:t>FR</w:t>
                      </w:r>
                    </w:p>
                  </w:txbxContent>
                </v:textbox>
                <w10:wrap anchorx="page" anchory="page"/>
              </v:shape>
            </w:pict>
          </mc:Fallback>
        </mc:AlternateContent>
      </w:r>
    </w:p>
    <w:p w:rsidR="00AD5AAC" w:rsidRPr="004D08A9" w:rsidRDefault="00AD5AAC" w:rsidP="00B2380D">
      <w:pPr>
        <w:spacing w:line="288" w:lineRule="auto"/>
        <w:rPr>
          <w:sz w:val="22"/>
          <w:szCs w:val="22"/>
        </w:rPr>
      </w:pPr>
    </w:p>
    <w:p w:rsidR="00AD5AAC" w:rsidRPr="004D08A9" w:rsidRDefault="00AD5AAC" w:rsidP="00B2380D">
      <w:pPr>
        <w:spacing w:line="288" w:lineRule="auto"/>
        <w:jc w:val="right"/>
        <w:rPr>
          <w:sz w:val="22"/>
          <w:szCs w:val="22"/>
        </w:rPr>
      </w:pPr>
    </w:p>
    <w:p w:rsidR="00AD5AAC" w:rsidRPr="004D08A9" w:rsidRDefault="00AD5AAC" w:rsidP="00B2380D">
      <w:pPr>
        <w:spacing w:line="288" w:lineRule="auto"/>
        <w:rPr>
          <w:sz w:val="22"/>
          <w:szCs w:val="22"/>
        </w:rPr>
      </w:pPr>
    </w:p>
    <w:p w:rsidR="00AD5AAC" w:rsidRPr="004D08A9" w:rsidRDefault="00AD5AAC" w:rsidP="00B2380D">
      <w:pPr>
        <w:spacing w:line="288" w:lineRule="auto"/>
        <w:rPr>
          <w:sz w:val="22"/>
          <w:szCs w:val="22"/>
        </w:rPr>
      </w:pPr>
    </w:p>
    <w:p w:rsidR="00AD5AAC" w:rsidRPr="004D08A9" w:rsidRDefault="00AD5AAC" w:rsidP="00B2380D">
      <w:pPr>
        <w:spacing w:line="288" w:lineRule="auto"/>
        <w:rPr>
          <w:sz w:val="22"/>
          <w:szCs w:val="22"/>
        </w:rPr>
      </w:pPr>
    </w:p>
    <w:p w:rsidR="00B8563A" w:rsidRPr="004D08A9" w:rsidRDefault="00B8563A" w:rsidP="00B2380D">
      <w:pPr>
        <w:spacing w:line="288" w:lineRule="auto"/>
        <w:rPr>
          <w:sz w:val="22"/>
          <w:szCs w:val="22"/>
        </w:rPr>
      </w:pPr>
    </w:p>
    <w:p w:rsidR="00B8563A" w:rsidRPr="004D08A9" w:rsidRDefault="00B8563A" w:rsidP="00B2380D">
      <w:pPr>
        <w:spacing w:line="288" w:lineRule="auto"/>
        <w:rPr>
          <w:sz w:val="22"/>
          <w:szCs w:val="22"/>
        </w:rPr>
      </w:pPr>
    </w:p>
    <w:p w:rsidR="00AD5AAC" w:rsidRPr="004D08A9" w:rsidRDefault="00AD5AAC" w:rsidP="00B2380D">
      <w:pPr>
        <w:spacing w:line="288" w:lineRule="auto"/>
        <w:rPr>
          <w:b/>
          <w:sz w:val="22"/>
          <w:szCs w:val="22"/>
        </w:rPr>
      </w:pPr>
    </w:p>
    <w:p w:rsidR="00AD5AAC" w:rsidRPr="004D08A9" w:rsidRDefault="00AD5AAC" w:rsidP="00B2380D">
      <w:pPr>
        <w:spacing w:line="288" w:lineRule="auto"/>
        <w:jc w:val="center"/>
        <w:rPr>
          <w:b/>
          <w:sz w:val="28"/>
          <w:szCs w:val="28"/>
        </w:rPr>
      </w:pPr>
      <w:r w:rsidRPr="004D08A9">
        <w:rPr>
          <w:b/>
          <w:sz w:val="28"/>
          <w:szCs w:val="28"/>
        </w:rPr>
        <w:t>RÉSOLUTION</w:t>
      </w:r>
    </w:p>
    <w:p w:rsidR="00AD5AAC" w:rsidRPr="004D08A9" w:rsidRDefault="00AD5AAC" w:rsidP="00B2380D">
      <w:pPr>
        <w:spacing w:line="288" w:lineRule="auto"/>
        <w:jc w:val="center"/>
        <w:rPr>
          <w:b/>
        </w:rPr>
      </w:pPr>
    </w:p>
    <w:p w:rsidR="0056313A" w:rsidRPr="004D08A9" w:rsidRDefault="0056313A" w:rsidP="00B2380D">
      <w:pPr>
        <w:spacing w:line="288" w:lineRule="auto"/>
        <w:jc w:val="center"/>
        <w:rPr>
          <w:b/>
          <w:bCs/>
          <w:iCs/>
          <w:sz w:val="22"/>
          <w:szCs w:val="22"/>
        </w:rPr>
      </w:pPr>
      <w:r w:rsidRPr="004D08A9">
        <w:rPr>
          <w:b/>
          <w:bCs/>
          <w:iCs/>
          <w:sz w:val="22"/>
          <w:szCs w:val="22"/>
        </w:rPr>
        <w:t xml:space="preserve">Propositions du CESE pour la reconstruction et la relance après la crise de la COVID-19: </w:t>
      </w:r>
    </w:p>
    <w:p w:rsidR="0056313A" w:rsidRPr="004D08A9" w:rsidRDefault="0056313A" w:rsidP="00B2380D">
      <w:pPr>
        <w:spacing w:line="288" w:lineRule="auto"/>
        <w:jc w:val="center"/>
        <w:rPr>
          <w:b/>
          <w:i/>
          <w:sz w:val="22"/>
          <w:szCs w:val="22"/>
        </w:rPr>
      </w:pPr>
      <w:r w:rsidRPr="004D08A9">
        <w:rPr>
          <w:b/>
          <w:i/>
          <w:sz w:val="22"/>
          <w:szCs w:val="22"/>
        </w:rPr>
        <w:t xml:space="preserve">L’Union européenne doit être guidée par la </w:t>
      </w:r>
      <w:bookmarkStart w:id="0" w:name="_GoBack"/>
      <w:r w:rsidRPr="004D08A9">
        <w:rPr>
          <w:b/>
          <w:i/>
          <w:sz w:val="22"/>
          <w:szCs w:val="22"/>
        </w:rPr>
        <w:t>volonté de se présenter comme une communauté de destin partagé</w:t>
      </w:r>
      <w:bookmarkEnd w:id="0"/>
    </w:p>
    <w:p w:rsidR="0056313A" w:rsidRPr="004D08A9" w:rsidRDefault="0056313A" w:rsidP="00B2380D">
      <w:pPr>
        <w:spacing w:line="288" w:lineRule="auto"/>
        <w:jc w:val="center"/>
        <w:rPr>
          <w:b/>
          <w:i/>
          <w:sz w:val="22"/>
          <w:szCs w:val="22"/>
        </w:rPr>
      </w:pPr>
    </w:p>
    <w:p w:rsidR="00B8563A" w:rsidRPr="004D08A9" w:rsidRDefault="00B8563A" w:rsidP="00B2380D">
      <w:pPr>
        <w:spacing w:line="288" w:lineRule="auto"/>
        <w:jc w:val="center"/>
        <w:rPr>
          <w:b/>
          <w:sz w:val="22"/>
          <w:szCs w:val="22"/>
        </w:rPr>
      </w:pPr>
    </w:p>
    <w:p w:rsidR="00B8563A" w:rsidRPr="004D08A9" w:rsidRDefault="00B8563A" w:rsidP="00B2380D">
      <w:pPr>
        <w:spacing w:line="288" w:lineRule="auto"/>
        <w:jc w:val="center"/>
        <w:rPr>
          <w:b/>
          <w:sz w:val="22"/>
          <w:szCs w:val="22"/>
        </w:rPr>
      </w:pPr>
    </w:p>
    <w:p w:rsidR="00856067" w:rsidRPr="004D08A9" w:rsidRDefault="00856067" w:rsidP="00B2380D">
      <w:pPr>
        <w:spacing w:line="288" w:lineRule="auto"/>
        <w:jc w:val="center"/>
        <w:rPr>
          <w:b/>
          <w:sz w:val="22"/>
          <w:szCs w:val="22"/>
        </w:rPr>
      </w:pPr>
    </w:p>
    <w:p w:rsidR="0056313A" w:rsidRPr="004D08A9" w:rsidRDefault="0056313A" w:rsidP="00B2380D">
      <w:pPr>
        <w:spacing w:line="288" w:lineRule="auto"/>
        <w:jc w:val="center"/>
        <w:rPr>
          <w:b/>
          <w:sz w:val="22"/>
          <w:szCs w:val="22"/>
        </w:rPr>
      </w:pPr>
      <w:r w:rsidRPr="004D08A9">
        <w:rPr>
          <w:b/>
          <w:sz w:val="22"/>
          <w:szCs w:val="22"/>
        </w:rPr>
        <w:t>sur la base des travaux du</w:t>
      </w:r>
    </w:p>
    <w:p w:rsidR="0056313A" w:rsidRPr="004D08A9" w:rsidRDefault="00856067" w:rsidP="00B2380D">
      <w:pPr>
        <w:spacing w:line="288" w:lineRule="auto"/>
        <w:jc w:val="center"/>
        <w:rPr>
          <w:b/>
          <w:sz w:val="22"/>
          <w:szCs w:val="22"/>
        </w:rPr>
      </w:pPr>
      <w:r w:rsidRPr="004D08A9">
        <w:rPr>
          <w:b/>
          <w:sz w:val="22"/>
          <w:szCs w:val="22"/>
        </w:rPr>
        <w:t xml:space="preserve"> </w:t>
      </w:r>
    </w:p>
    <w:p w:rsidR="00856067" w:rsidRPr="004D08A9" w:rsidRDefault="00856067" w:rsidP="00B2380D">
      <w:pPr>
        <w:spacing w:line="288" w:lineRule="auto"/>
        <w:jc w:val="center"/>
        <w:rPr>
          <w:b/>
          <w:sz w:val="22"/>
          <w:szCs w:val="22"/>
        </w:rPr>
      </w:pPr>
      <w:r w:rsidRPr="004D08A9">
        <w:rPr>
          <w:b/>
          <w:sz w:val="22"/>
          <w:szCs w:val="22"/>
        </w:rPr>
        <w:t>sous-comité «Relance et reconstruction après la COVID-19»</w:t>
      </w:r>
    </w:p>
    <w:p w:rsidR="0056313A" w:rsidRPr="004D08A9" w:rsidRDefault="0056313A" w:rsidP="00B2380D">
      <w:pPr>
        <w:spacing w:line="288" w:lineRule="auto"/>
        <w:jc w:val="center"/>
        <w:rPr>
          <w:b/>
          <w:sz w:val="22"/>
          <w:szCs w:val="22"/>
        </w:rPr>
      </w:pPr>
    </w:p>
    <w:p w:rsidR="0056313A" w:rsidRPr="004D08A9" w:rsidRDefault="0056313A">
      <w:pPr>
        <w:overflowPunct w:val="0"/>
        <w:autoSpaceDE w:val="0"/>
        <w:autoSpaceDN w:val="0"/>
        <w:adjustRightInd w:val="0"/>
        <w:spacing w:line="288" w:lineRule="auto"/>
        <w:jc w:val="center"/>
        <w:textAlignment w:val="baseline"/>
        <w:rPr>
          <w:sz w:val="22"/>
          <w:szCs w:val="22"/>
        </w:rPr>
      </w:pPr>
      <w:r w:rsidRPr="004D08A9">
        <w:rPr>
          <w:sz w:val="22"/>
          <w:szCs w:val="22"/>
        </w:rPr>
        <w:t>_____________</w:t>
      </w:r>
    </w:p>
    <w:p w:rsidR="0056313A" w:rsidRPr="004D08A9" w:rsidRDefault="0056313A">
      <w:pPr>
        <w:overflowPunct w:val="0"/>
        <w:autoSpaceDE w:val="0"/>
        <w:autoSpaceDN w:val="0"/>
        <w:adjustRightInd w:val="0"/>
        <w:spacing w:line="288" w:lineRule="auto"/>
        <w:jc w:val="center"/>
        <w:textAlignment w:val="baseline"/>
        <w:rPr>
          <w:sz w:val="22"/>
          <w:szCs w:val="22"/>
        </w:rPr>
      </w:pPr>
    </w:p>
    <w:p w:rsidR="00B8563A" w:rsidRPr="004D08A9" w:rsidRDefault="00B8563A">
      <w:pPr>
        <w:overflowPunct w:val="0"/>
        <w:autoSpaceDE w:val="0"/>
        <w:autoSpaceDN w:val="0"/>
        <w:adjustRightInd w:val="0"/>
        <w:spacing w:line="288" w:lineRule="auto"/>
        <w:jc w:val="center"/>
        <w:textAlignment w:val="baseline"/>
        <w:rPr>
          <w:sz w:val="22"/>
          <w:szCs w:val="22"/>
        </w:rPr>
      </w:pPr>
    </w:p>
    <w:p w:rsidR="00B8563A" w:rsidRPr="004D08A9" w:rsidRDefault="00B8563A">
      <w:pPr>
        <w:overflowPunct w:val="0"/>
        <w:autoSpaceDE w:val="0"/>
        <w:autoSpaceDN w:val="0"/>
        <w:adjustRightInd w:val="0"/>
        <w:spacing w:line="288" w:lineRule="auto"/>
        <w:jc w:val="center"/>
        <w:textAlignment w:val="baseline"/>
        <w:rPr>
          <w:sz w:val="22"/>
          <w:szCs w:val="22"/>
        </w:rPr>
      </w:pPr>
    </w:p>
    <w:p w:rsidR="0056313A" w:rsidRPr="004D08A9" w:rsidRDefault="0056313A" w:rsidP="001E0A55">
      <w:pPr>
        <w:spacing w:line="288" w:lineRule="auto"/>
        <w:jc w:val="center"/>
        <w:rPr>
          <w:sz w:val="22"/>
          <w:szCs w:val="22"/>
        </w:rPr>
      </w:pPr>
      <w:r w:rsidRPr="004D08A9">
        <w:rPr>
          <w:sz w:val="22"/>
          <w:szCs w:val="22"/>
        </w:rPr>
        <w:t xml:space="preserve">Rapporteurs: </w:t>
      </w:r>
      <w:r w:rsidRPr="004D08A9">
        <w:rPr>
          <w:b/>
          <w:sz w:val="22"/>
          <w:szCs w:val="22"/>
        </w:rPr>
        <w:t>Petr ZAHRADNÍK (groupe I)</w:t>
      </w:r>
    </w:p>
    <w:p w:rsidR="0056313A" w:rsidRPr="004D08A9" w:rsidRDefault="0056313A" w:rsidP="001A1562">
      <w:pPr>
        <w:spacing w:line="288" w:lineRule="auto"/>
        <w:ind w:left="3884"/>
        <w:rPr>
          <w:b/>
          <w:sz w:val="22"/>
          <w:szCs w:val="22"/>
        </w:rPr>
      </w:pPr>
      <w:r w:rsidRPr="004D08A9">
        <w:rPr>
          <w:b/>
          <w:sz w:val="22"/>
          <w:szCs w:val="22"/>
        </w:rPr>
        <w:t>Stefano PALMIERI (groupe II)</w:t>
      </w:r>
    </w:p>
    <w:p w:rsidR="0056313A" w:rsidRPr="004D08A9" w:rsidRDefault="0056313A" w:rsidP="001A1562">
      <w:pPr>
        <w:spacing w:line="288" w:lineRule="auto"/>
        <w:ind w:left="3884"/>
        <w:rPr>
          <w:b/>
          <w:sz w:val="22"/>
          <w:szCs w:val="22"/>
        </w:rPr>
      </w:pPr>
      <w:r w:rsidRPr="004D08A9">
        <w:rPr>
          <w:b/>
          <w:sz w:val="22"/>
          <w:szCs w:val="22"/>
        </w:rPr>
        <w:t>Jan DIRX (groupe III)</w:t>
      </w:r>
    </w:p>
    <w:p w:rsidR="0056313A" w:rsidRPr="004D08A9" w:rsidRDefault="0056313A">
      <w:pPr>
        <w:overflowPunct w:val="0"/>
        <w:autoSpaceDE w:val="0"/>
        <w:autoSpaceDN w:val="0"/>
        <w:adjustRightInd w:val="0"/>
        <w:spacing w:line="288" w:lineRule="auto"/>
        <w:jc w:val="center"/>
        <w:textAlignment w:val="baseline"/>
      </w:pPr>
    </w:p>
    <w:p w:rsidR="0056313A" w:rsidRPr="004D08A9" w:rsidRDefault="0056313A">
      <w:pPr>
        <w:overflowPunct w:val="0"/>
        <w:autoSpaceDE w:val="0"/>
        <w:autoSpaceDN w:val="0"/>
        <w:adjustRightInd w:val="0"/>
        <w:spacing w:line="288" w:lineRule="auto"/>
        <w:jc w:val="center"/>
        <w:textAlignment w:val="baseline"/>
      </w:pPr>
      <w:r w:rsidRPr="004D08A9">
        <w:t>_____________</w:t>
      </w:r>
    </w:p>
    <w:p w:rsidR="0056313A" w:rsidRPr="004D08A9" w:rsidRDefault="0056313A" w:rsidP="00B2380D">
      <w:pPr>
        <w:spacing w:line="288" w:lineRule="auto"/>
      </w:pPr>
    </w:p>
    <w:p w:rsidR="0056313A" w:rsidRPr="004D08A9" w:rsidRDefault="0056313A" w:rsidP="00B2380D">
      <w:pPr>
        <w:spacing w:line="288" w:lineRule="auto"/>
        <w:jc w:val="center"/>
        <w:rPr>
          <w:sz w:val="22"/>
          <w:szCs w:val="22"/>
        </w:rPr>
      </w:pPr>
      <w:r w:rsidRPr="004D08A9">
        <w:rPr>
          <w:sz w:val="22"/>
          <w:szCs w:val="22"/>
        </w:rPr>
        <w:t>adoptée par le Comité économique et social européen</w:t>
      </w:r>
      <w:r w:rsidRPr="004D08A9">
        <w:rPr>
          <w:sz w:val="22"/>
          <w:szCs w:val="22"/>
        </w:rPr>
        <w:br/>
        <w:t>le 11 juin 2020</w:t>
      </w:r>
    </w:p>
    <w:p w:rsidR="0056313A" w:rsidRPr="004D08A9" w:rsidRDefault="0056313A" w:rsidP="00B2380D">
      <w:pPr>
        <w:spacing w:line="288" w:lineRule="auto"/>
        <w:jc w:val="center"/>
      </w:pPr>
    </w:p>
    <w:p w:rsidR="0056313A" w:rsidRPr="004D08A9" w:rsidRDefault="0056313A">
      <w:pPr>
        <w:overflowPunct w:val="0"/>
        <w:autoSpaceDE w:val="0"/>
        <w:autoSpaceDN w:val="0"/>
        <w:adjustRightInd w:val="0"/>
        <w:spacing w:line="288" w:lineRule="auto"/>
        <w:jc w:val="center"/>
        <w:textAlignment w:val="baseline"/>
      </w:pPr>
      <w:r w:rsidRPr="004D08A9">
        <w:t>_____________</w:t>
      </w:r>
    </w:p>
    <w:p w:rsidR="0056313A" w:rsidRPr="004D08A9" w:rsidRDefault="0056313A" w:rsidP="00B2380D">
      <w:pPr>
        <w:spacing w:line="288" w:lineRule="auto"/>
      </w:pPr>
    </w:p>
    <w:p w:rsidR="000C5650" w:rsidRPr="004D08A9" w:rsidRDefault="000C5650" w:rsidP="00B2380D">
      <w:pPr>
        <w:spacing w:line="288" w:lineRule="auto"/>
        <w:jc w:val="center"/>
        <w:rPr>
          <w:b/>
          <w:i/>
          <w:sz w:val="22"/>
          <w:szCs w:val="22"/>
        </w:rPr>
        <w:sectPr w:rsidR="000C5650" w:rsidRPr="004D08A9" w:rsidSect="004D08A9">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9" w:footer="709" w:gutter="0"/>
          <w:pgNumType w:start="1"/>
          <w:cols w:space="708"/>
          <w:docGrid w:linePitch="360"/>
        </w:sectPr>
      </w:pPr>
    </w:p>
    <w:p w:rsidR="000E7B1E" w:rsidRPr="004D08A9" w:rsidRDefault="000E7B1E" w:rsidP="00B2380D">
      <w:pPr>
        <w:pStyle w:val="Heading1"/>
        <w:rPr>
          <w:b/>
        </w:rPr>
      </w:pPr>
      <w:r w:rsidRPr="004D08A9">
        <w:rPr>
          <w:b/>
        </w:rPr>
        <w:lastRenderedPageBreak/>
        <w:t>Introduction</w:t>
      </w:r>
    </w:p>
    <w:p w:rsidR="000E7B1E" w:rsidRPr="004D08A9" w:rsidRDefault="000E7B1E" w:rsidP="00B2380D">
      <w:pPr>
        <w:spacing w:line="288" w:lineRule="auto"/>
        <w:ind w:left="709" w:hanging="709"/>
        <w:jc w:val="both"/>
        <w:rPr>
          <w:bCs/>
          <w:iCs/>
          <w:sz w:val="22"/>
        </w:rPr>
      </w:pPr>
    </w:p>
    <w:p w:rsidR="000E7B1E" w:rsidRPr="004D08A9" w:rsidRDefault="000E7B1E" w:rsidP="00B2380D">
      <w:pPr>
        <w:pStyle w:val="Heading2"/>
      </w:pPr>
      <w:r w:rsidRPr="004D08A9">
        <w:t xml:space="preserve">Le CESE accueille favorablement et soutient les propositions de la Commission européenne relatives au plan «Next </w:t>
      </w:r>
      <w:proofErr w:type="spellStart"/>
      <w:r w:rsidRPr="004D08A9">
        <w:t>Generation</w:t>
      </w:r>
      <w:proofErr w:type="spellEnd"/>
      <w:r w:rsidRPr="004D08A9">
        <w:t xml:space="preserve"> EU» et au budget global de l’UE pour la période 2021-2027. Dans la présente déclaration, nous décrivons les objectifs que les propositions de relance et de reconstruction après la crise du coronavirus devraient, selon nous, permettre d’atteindre. Les quatre points suivants nous apparaissent centraux:</w:t>
      </w:r>
    </w:p>
    <w:p w:rsidR="009A0B23" w:rsidRPr="004D08A9" w:rsidRDefault="009A0B23" w:rsidP="00B2380D">
      <w:pPr>
        <w:rPr>
          <w:lang w:eastAsia="en-US"/>
        </w:rPr>
      </w:pPr>
    </w:p>
    <w:p w:rsidR="00032DFC" w:rsidRPr="004D08A9" w:rsidRDefault="000E7B1E" w:rsidP="00B2380D">
      <w:pPr>
        <w:pStyle w:val="Heading2"/>
      </w:pPr>
      <w:r w:rsidRPr="004D08A9">
        <w:t xml:space="preserve">Le CESE a la conviction que la relance, qui devra remédier aux conséquences de la crise de la COVID-19, ne pourra être couronnée de succès que si elle s’accompagne d’une restructuration de la société dans laquelle nous vivons: nous devons nous attacher autant à la reconstruction, qu’à la relance. Nous ne </w:t>
      </w:r>
      <w:proofErr w:type="spellStart"/>
      <w:r w:rsidRPr="004D08A9">
        <w:t>pouvons nous</w:t>
      </w:r>
      <w:proofErr w:type="spellEnd"/>
      <w:r w:rsidRPr="004D08A9">
        <w:t xml:space="preserve"> contenter de rétablir la situation antérieure: nous devons la </w:t>
      </w:r>
      <w:r w:rsidR="004D08A9">
        <w:t>restructurer et l’améliorer. Le </w:t>
      </w:r>
      <w:r w:rsidRPr="004D08A9">
        <w:t>CESE estime que ces deux opérations devront reposer sur les principes qui guident tous ses travaux: la protection des droits de l’homme et des droits sociaux, des valeurs démocratiques et de l’état de droit, l’exploitation de tout le potentiel du marché unique, la réalisation des objectifs de développement durable, la création d’une économie circulaire et la réalisation de la neutralité climatique au sein de l’UE d’ici à 2050 au plus tard. Nous devons également garantir à la fois la bonne gouvernance et la responsabilité démocratique. Il est en outre impératif de comprendre pourquoi certains groupes sociaux se sont trouvés plus vulnérables pendant la crise, tant à cause d’une protection insuffisante contre la contagion que de la perte de leurs moyens de subsistance, et de travailler pour limiter cette vulnérabilité à l’avenir.</w:t>
      </w:r>
    </w:p>
    <w:p w:rsidR="00032DFC" w:rsidRPr="004D08A9" w:rsidRDefault="00032DFC">
      <w:pPr>
        <w:spacing w:line="288" w:lineRule="auto"/>
        <w:ind w:left="709" w:hanging="709"/>
        <w:jc w:val="both"/>
        <w:rPr>
          <w:bCs/>
          <w:iCs/>
          <w:sz w:val="22"/>
        </w:rPr>
      </w:pPr>
    </w:p>
    <w:p w:rsidR="00080BB5" w:rsidRPr="004D08A9" w:rsidRDefault="00032DFC" w:rsidP="00B2380D">
      <w:pPr>
        <w:pStyle w:val="Heading2"/>
        <w:rPr>
          <w:bCs/>
          <w:iCs/>
        </w:rPr>
      </w:pPr>
      <w:r w:rsidRPr="004D08A9">
        <w:t xml:space="preserve">Le processus du Semestre européen jouera un rôle de plus en plus important dans le suivi et l’évaluation des interventions prévues dans le plan «Next </w:t>
      </w:r>
      <w:proofErr w:type="spellStart"/>
      <w:r w:rsidRPr="004D08A9">
        <w:t>Generation</w:t>
      </w:r>
      <w:proofErr w:type="spellEnd"/>
      <w:r w:rsidRPr="004D08A9">
        <w:t xml:space="preserve"> EU». Dans cette perspective, le CESE est d’avis qu’il convient de considérer les partenaires économiques et sociaux ainsi que les organisations de la société civile comme des acteurs essentiels à cet égard.</w:t>
      </w:r>
    </w:p>
    <w:p w:rsidR="00080BB5" w:rsidRPr="004D08A9" w:rsidRDefault="00080BB5">
      <w:pPr>
        <w:spacing w:line="288" w:lineRule="auto"/>
        <w:ind w:left="709" w:hanging="709"/>
        <w:jc w:val="both"/>
        <w:rPr>
          <w:bCs/>
          <w:iCs/>
          <w:sz w:val="22"/>
        </w:rPr>
      </w:pPr>
    </w:p>
    <w:p w:rsidR="000E7B1E" w:rsidRPr="004D08A9" w:rsidRDefault="00080BB5" w:rsidP="00B2380D">
      <w:pPr>
        <w:pStyle w:val="Heading2"/>
        <w:rPr>
          <w:bCs/>
          <w:iCs/>
        </w:rPr>
      </w:pPr>
      <w:r w:rsidRPr="004D08A9">
        <w:t>Dans le contexte de ce nouveau processus de relance et de reconstruction, le CESE espère que la prochaine conférence sur l’avenir de l’Europe sera l’occasion de renforcer et d’approfondir la structure institutionnelle de l’Union, et de véritablement renouveler le projet européen, afin que l’UE soit en mesure de relever les défis des prochaines décennies.</w:t>
      </w:r>
    </w:p>
    <w:p w:rsidR="000E7B1E" w:rsidRPr="004D08A9" w:rsidRDefault="000E7B1E">
      <w:pPr>
        <w:spacing w:line="288" w:lineRule="auto"/>
        <w:ind w:left="709" w:hanging="709"/>
        <w:jc w:val="both"/>
        <w:rPr>
          <w:sz w:val="22"/>
        </w:rPr>
      </w:pPr>
    </w:p>
    <w:p w:rsidR="000E7B1E" w:rsidRPr="004D08A9" w:rsidRDefault="000E7B1E" w:rsidP="00B2380D">
      <w:pPr>
        <w:pStyle w:val="Heading2"/>
      </w:pPr>
      <w:r w:rsidRPr="004D08A9">
        <w:t>Les investissements réalisés dans le cadre des mesures d’incitation économique à court terme devraient soit être neutres, soit accélérer la transformation structurelle de l’économie européenne vers une ambition «zéro pollution», la restauration de la biodiversité et la neutralité climatique d’ici à 2050.</w:t>
      </w:r>
    </w:p>
    <w:p w:rsidR="000E7B1E" w:rsidRPr="004D08A9" w:rsidRDefault="000E7B1E">
      <w:pPr>
        <w:spacing w:line="288" w:lineRule="auto"/>
        <w:ind w:left="709" w:hanging="709"/>
        <w:jc w:val="both"/>
        <w:rPr>
          <w:sz w:val="22"/>
        </w:rPr>
      </w:pPr>
    </w:p>
    <w:p w:rsidR="00BD7F22" w:rsidRPr="004D08A9" w:rsidRDefault="000E7B1E" w:rsidP="00B2380D">
      <w:pPr>
        <w:pStyle w:val="Heading2"/>
      </w:pPr>
      <w:r w:rsidRPr="004D08A9">
        <w:t>La participation de tous les citoyens, par l’intermédiaire des organisations des partenaires sociaux ou de la société civile, permettra de réformer l’économie et la société. Les États membres et l’UE doivent donc veiller à ce que, dans ce processus complexe, personne ne soit laissé pour compte.</w:t>
      </w:r>
    </w:p>
    <w:p w:rsidR="000E7B1E" w:rsidRPr="004D08A9" w:rsidRDefault="000E7B1E">
      <w:pPr>
        <w:spacing w:line="288" w:lineRule="auto"/>
        <w:jc w:val="both"/>
        <w:rPr>
          <w:sz w:val="22"/>
        </w:rPr>
      </w:pPr>
    </w:p>
    <w:p w:rsidR="000E7B1E" w:rsidRPr="004D08A9" w:rsidRDefault="000E7B1E" w:rsidP="00B2380D">
      <w:pPr>
        <w:pStyle w:val="Heading2"/>
      </w:pPr>
      <w:r w:rsidRPr="004D08A9">
        <w:t>Enfin, et surtout, l’un des principaux enseignements de la crise du coronavirus est que les systèmes de santé doivent être renforcés dans presque tous les pays européen</w:t>
      </w:r>
      <w:r w:rsidR="004D08A9">
        <w:t>s, par la création d’une «Union </w:t>
      </w:r>
      <w:r w:rsidRPr="004D08A9">
        <w:t>européenne de la santé».</w:t>
      </w:r>
    </w:p>
    <w:p w:rsidR="00080BB5" w:rsidRPr="004D08A9" w:rsidRDefault="00080BB5">
      <w:pPr>
        <w:spacing w:line="288" w:lineRule="auto"/>
        <w:ind w:left="709" w:hanging="709"/>
        <w:rPr>
          <w:sz w:val="22"/>
          <w:szCs w:val="22"/>
        </w:rPr>
      </w:pPr>
    </w:p>
    <w:p w:rsidR="00535C4B" w:rsidRPr="004D08A9" w:rsidRDefault="004C40CE" w:rsidP="00526A32">
      <w:pPr>
        <w:pStyle w:val="Heading1"/>
        <w:keepNext/>
        <w:keepLines/>
        <w:rPr>
          <w:b/>
        </w:rPr>
      </w:pPr>
      <w:r w:rsidRPr="004D08A9">
        <w:rPr>
          <w:b/>
        </w:rPr>
        <w:lastRenderedPageBreak/>
        <w:t>La crise de la COVID-19: un choc externe symétrique pour l’Union européenne produisant des effets différents selon les États membres</w:t>
      </w:r>
    </w:p>
    <w:p w:rsidR="00535C4B" w:rsidRPr="004D08A9" w:rsidRDefault="00535C4B" w:rsidP="00526A32">
      <w:pPr>
        <w:keepNext/>
        <w:keepLines/>
        <w:spacing w:line="288" w:lineRule="auto"/>
        <w:ind w:left="709" w:hanging="709"/>
        <w:rPr>
          <w:sz w:val="22"/>
          <w:szCs w:val="22"/>
        </w:rPr>
      </w:pPr>
    </w:p>
    <w:p w:rsidR="00535C4B" w:rsidRPr="004D08A9" w:rsidRDefault="00535C4B" w:rsidP="00526A32">
      <w:pPr>
        <w:pStyle w:val="Heading2"/>
        <w:keepNext/>
        <w:keepLines/>
      </w:pPr>
      <w:r w:rsidRPr="004D08A9">
        <w:t>La crise de la COVID-19 et ses conséquences sur l’Union européenne</w:t>
      </w:r>
    </w:p>
    <w:p w:rsidR="008116CA" w:rsidRPr="004D08A9" w:rsidRDefault="008116CA" w:rsidP="00526A32">
      <w:pPr>
        <w:keepNext/>
        <w:keepLines/>
        <w:spacing w:line="288" w:lineRule="auto"/>
        <w:ind w:left="709" w:hanging="709"/>
        <w:jc w:val="both"/>
        <w:rPr>
          <w:sz w:val="22"/>
          <w:szCs w:val="22"/>
        </w:rPr>
      </w:pPr>
    </w:p>
    <w:p w:rsidR="004C40CE" w:rsidRPr="004D08A9" w:rsidRDefault="00920557" w:rsidP="00B2380D">
      <w:pPr>
        <w:pStyle w:val="Heading3"/>
      </w:pPr>
      <w:r w:rsidRPr="004D08A9">
        <w:t>S’il est encore trop tôt, au moment de la rédaction de la présente résolution, pour évaluer les conséquences globales de la pandémie de COVID-19, il est déjà évident qu’il s’agit du pire choc auquel les économies européennes ont été confrontées depuis la Seconde guerre mondiale. Il faut s’attendre à ce que le chemin de la reprise soit long et semé d’embûches. Les prévisions du FMI et de la Commission européenne confirment que cette crise a touché tous les États membres de l’UE avec une intensité différente</w:t>
      </w:r>
      <w:r w:rsidR="00616723" w:rsidRPr="004D08A9">
        <w:rPr>
          <w:rStyle w:val="FootnoteReference"/>
        </w:rPr>
        <w:footnoteReference w:id="1"/>
      </w:r>
      <w:r w:rsidRPr="004D08A9">
        <w:t>, mettant à l’épreuve non seulement nos modèles de comportement, mais également nos modèles de production, de consommation et d’emploi.</w:t>
      </w:r>
    </w:p>
    <w:p w:rsidR="00E76AA5" w:rsidRPr="004D08A9" w:rsidRDefault="00E76AA5">
      <w:pPr>
        <w:spacing w:line="288" w:lineRule="auto"/>
        <w:ind w:left="709" w:hanging="709"/>
        <w:jc w:val="both"/>
        <w:rPr>
          <w:sz w:val="22"/>
          <w:szCs w:val="22"/>
        </w:rPr>
      </w:pPr>
    </w:p>
    <w:p w:rsidR="003B18D8" w:rsidRPr="004D08A9" w:rsidRDefault="00A67265" w:rsidP="00B2380D">
      <w:pPr>
        <w:pStyle w:val="Heading3"/>
      </w:pPr>
      <w:r w:rsidRPr="004D08A9">
        <w:t>Il s’agit d’une crise grave, car elle a frappé l’Union à un moment de</w:t>
      </w:r>
      <w:r w:rsidR="004D08A9">
        <w:t xml:space="preserve"> grande faiblesse économique et </w:t>
      </w:r>
      <w:r w:rsidRPr="004D08A9">
        <w:t>politique. Les effets négatifs de la précédente crise économique et financière (2008-2010) se font encore sentir dans certains pays, dont les économies restent sensibles, fragiles et vulnérables face aux chocs. Par ailleurs, certains groupes sociaux, même dans les États membres les plus riches, ne se sont pas encore entièrement remis des conséquences de la dernière crise économique. C’est le cas, par exemple, des personnes handicapées</w:t>
      </w:r>
      <w:r w:rsidR="00A83605" w:rsidRPr="004D08A9">
        <w:rPr>
          <w:rStyle w:val="FootnoteReference"/>
        </w:rPr>
        <w:footnoteReference w:id="2"/>
      </w:r>
      <w:r w:rsidRPr="004D08A9">
        <w:t>. En outre, cette crise survient dans une période cruciale pour l’Union européenne, en pleine phase de transition vers une économie numérique, sensible à la durabilité économique, environnementale et sociale.</w:t>
      </w:r>
    </w:p>
    <w:p w:rsidR="003B18D8" w:rsidRPr="004D08A9" w:rsidRDefault="003B18D8">
      <w:pPr>
        <w:spacing w:line="288" w:lineRule="auto"/>
        <w:ind w:left="709" w:hanging="709"/>
        <w:jc w:val="both"/>
        <w:rPr>
          <w:sz w:val="22"/>
          <w:szCs w:val="22"/>
        </w:rPr>
      </w:pPr>
    </w:p>
    <w:p w:rsidR="000F765E" w:rsidRPr="004D08A9" w:rsidRDefault="000F765E" w:rsidP="00B2380D">
      <w:pPr>
        <w:pStyle w:val="Heading3"/>
      </w:pPr>
      <w:r w:rsidRPr="004D08A9">
        <w:t>Cette crise a un effet déstabilisateur d’un point de vue économique et social. La première des priorités est que l’ensemble des activités et des politiques permettent à nos vies, à nos systèmes économiques, sociaux et environnementaux et à nos organisations de retrouver une «nouvelle normalité».</w:t>
      </w:r>
    </w:p>
    <w:p w:rsidR="00F9591B" w:rsidRPr="004D08A9" w:rsidRDefault="00F9591B">
      <w:pPr>
        <w:spacing w:line="288" w:lineRule="auto"/>
        <w:ind w:left="709" w:hanging="709"/>
        <w:jc w:val="both"/>
        <w:rPr>
          <w:sz w:val="22"/>
          <w:szCs w:val="22"/>
        </w:rPr>
      </w:pPr>
    </w:p>
    <w:p w:rsidR="007B1D5D" w:rsidRPr="004D08A9" w:rsidRDefault="00F9591B" w:rsidP="00B2380D">
      <w:pPr>
        <w:pStyle w:val="Heading3"/>
      </w:pPr>
      <w:r w:rsidRPr="004D08A9">
        <w:t>Cette crise constituera un redoutable test de résistance pour l’Union européenne dans son ensemble, pour notre système économique et nos modèles sociaux, ainsi que pour nos valeurs et pour notre démocratie.</w:t>
      </w:r>
    </w:p>
    <w:p w:rsidR="00535C4B" w:rsidRPr="004D08A9" w:rsidRDefault="00535C4B">
      <w:pPr>
        <w:spacing w:line="288" w:lineRule="auto"/>
        <w:ind w:left="1224"/>
        <w:jc w:val="both"/>
        <w:rPr>
          <w:sz w:val="22"/>
          <w:szCs w:val="22"/>
        </w:rPr>
      </w:pPr>
    </w:p>
    <w:p w:rsidR="00535C4B" w:rsidRPr="004D08A9" w:rsidRDefault="00535C4B" w:rsidP="00526A32">
      <w:pPr>
        <w:pStyle w:val="Heading2"/>
        <w:keepNext/>
        <w:keepLines/>
        <w:rPr>
          <w:b/>
        </w:rPr>
      </w:pPr>
      <w:r w:rsidRPr="004D08A9">
        <w:rPr>
          <w:b/>
        </w:rPr>
        <w:t>Conséquences économiques</w:t>
      </w:r>
    </w:p>
    <w:p w:rsidR="00FF4786" w:rsidRPr="004D08A9" w:rsidRDefault="00FF4786" w:rsidP="00526A32">
      <w:pPr>
        <w:keepNext/>
        <w:keepLines/>
        <w:spacing w:line="288" w:lineRule="auto"/>
        <w:ind w:left="709" w:hanging="709"/>
        <w:rPr>
          <w:sz w:val="22"/>
          <w:szCs w:val="22"/>
        </w:rPr>
      </w:pPr>
    </w:p>
    <w:p w:rsidR="00681958" w:rsidRPr="004D08A9" w:rsidRDefault="00DE0ADA" w:rsidP="00B2380D">
      <w:pPr>
        <w:pStyle w:val="Heading3"/>
      </w:pPr>
      <w:r w:rsidRPr="004D08A9">
        <w:t>Contrairement à la crise précédente, nous avons cette fois-ci été placés dans un confinement total et immédiat qui a mis à l’arrêt de nombreuses activités, entraînant une forte baisse de la production, une augmentation rapide du chômage et une détérioration des conditions de vie (baisse du revenu réel, précarité de l’emploi, restriction de la mobilité), une réduction drastique du chiffre d’affaires du commerce extérieur tant à l’intérieur de l’UE qu’avec les pays tiers, et une forte dégradation des indicateurs de finances publiques.</w:t>
      </w:r>
    </w:p>
    <w:p w:rsidR="00681958" w:rsidRPr="004D08A9" w:rsidRDefault="00681958">
      <w:pPr>
        <w:spacing w:line="288" w:lineRule="auto"/>
        <w:ind w:left="709" w:hanging="709"/>
        <w:rPr>
          <w:sz w:val="22"/>
          <w:szCs w:val="22"/>
        </w:rPr>
      </w:pPr>
    </w:p>
    <w:p w:rsidR="00216655" w:rsidRPr="004D08A9" w:rsidRDefault="0066645C" w:rsidP="004D08A9">
      <w:pPr>
        <w:pStyle w:val="Heading3"/>
        <w:keepNext/>
        <w:keepLines/>
      </w:pPr>
      <w:r w:rsidRPr="004D08A9">
        <w:lastRenderedPageBreak/>
        <w:t>Selon les analyses dont on dispose sur les conséquences de la pandémie de COVID-19 sur la croissance économique, le produit intérieur brut pourrait chuter d’environ 8 %</w:t>
      </w:r>
      <w:r w:rsidR="00136CF3" w:rsidRPr="004D08A9">
        <w:rPr>
          <w:rStyle w:val="FootnoteReference"/>
        </w:rPr>
        <w:footnoteReference w:id="3"/>
      </w:r>
      <w:r w:rsidRPr="004D08A9">
        <w:t xml:space="preserve"> et le nombre de chômeurs pourrait augmenter de 24,7 millions de personnes à l’échelle de la planète, la marge d’incertitude se situant entre 13 et 36 millions</w:t>
      </w:r>
      <w:r w:rsidRPr="004D08A9">
        <w:rPr>
          <w:rStyle w:val="FootnoteReference"/>
        </w:rPr>
        <w:footnoteReference w:id="4"/>
      </w:r>
      <w:r w:rsidRPr="004D08A9">
        <w:t>. Le taux de chômage de l’Union européenne devrait passer de 6,7 % (en 2019) à 9,0 % (en 2020)</w:t>
      </w:r>
      <w:r w:rsidRPr="004D08A9">
        <w:rPr>
          <w:rStyle w:val="FootnoteReference"/>
        </w:rPr>
        <w:footnoteReference w:id="5"/>
      </w:r>
      <w:r w:rsidRPr="004D08A9">
        <w:t xml:space="preserve">. Cette crise: i) remet sérieusement en question le tissu des petites et moyennes entreprises qui représentent l’épine dorsale du système de production européen; </w:t>
      </w:r>
      <w:proofErr w:type="spellStart"/>
      <w:r w:rsidRPr="004D08A9">
        <w:t>ii</w:t>
      </w:r>
      <w:proofErr w:type="spellEnd"/>
      <w:r w:rsidRPr="004D08A9">
        <w:t xml:space="preserve">) nuit à la compétitivité du système des grandes entreprises européennes; </w:t>
      </w:r>
      <w:proofErr w:type="spellStart"/>
      <w:r w:rsidRPr="004D08A9">
        <w:t>iii</w:t>
      </w:r>
      <w:proofErr w:type="spellEnd"/>
      <w:r w:rsidRPr="004D08A9">
        <w:t>) menace la survie même de certains secteurs économiques comme l’hôtellerie, le tourisme, les transports et la c</w:t>
      </w:r>
      <w:r w:rsidR="004D08A9">
        <w:t>ulture.</w:t>
      </w:r>
    </w:p>
    <w:p w:rsidR="00681958" w:rsidRPr="004D08A9" w:rsidRDefault="00681958">
      <w:pPr>
        <w:spacing w:line="288" w:lineRule="auto"/>
        <w:ind w:left="709" w:hanging="709"/>
        <w:jc w:val="both"/>
        <w:rPr>
          <w:sz w:val="22"/>
          <w:szCs w:val="22"/>
        </w:rPr>
      </w:pPr>
    </w:p>
    <w:p w:rsidR="00681958" w:rsidRPr="004D08A9" w:rsidRDefault="00136CF3" w:rsidP="00B2380D">
      <w:pPr>
        <w:pStyle w:val="Heading3"/>
      </w:pPr>
      <w:r w:rsidRPr="004D08A9">
        <w:t>Les estimations pour 2021</w:t>
      </w:r>
      <w:r w:rsidRPr="004D08A9">
        <w:rPr>
          <w:rStyle w:val="FootnoteReference"/>
        </w:rPr>
        <w:footnoteReference w:id="6"/>
      </w:r>
      <w:r w:rsidRPr="004D08A9">
        <w:t xml:space="preserve"> sont bien plus optimistes, prévoyant une reprise conditionnelle qui dépendra toutefois des paramètres suivants: les mesures restrictives auront déjà été levées; la pandémie restera sous contrôle; et les mesures monétaires, budgétaires et réglementaires sans précédent adoptées par les États membres et par l’UE permettront effectivement d’atténuer l</w:t>
      </w:r>
      <w:r w:rsidR="004D08A9">
        <w:t>es répercussions économiques et </w:t>
      </w:r>
      <w:r w:rsidRPr="004D08A9">
        <w:t>sociales immédiates de la crise et de limiter les dommages permanents aux relations économique</w:t>
      </w:r>
      <w:r w:rsidR="004D08A9">
        <w:t>s et </w:t>
      </w:r>
      <w:r w:rsidRPr="004D08A9">
        <w:t>sociales et aux chaînes de valeur mondiales.</w:t>
      </w:r>
    </w:p>
    <w:p w:rsidR="00681958" w:rsidRPr="004D08A9" w:rsidRDefault="00681958">
      <w:pPr>
        <w:spacing w:line="288" w:lineRule="auto"/>
        <w:ind w:left="709" w:hanging="709"/>
        <w:jc w:val="both"/>
        <w:rPr>
          <w:sz w:val="22"/>
          <w:szCs w:val="22"/>
        </w:rPr>
      </w:pPr>
    </w:p>
    <w:p w:rsidR="00136CF3" w:rsidRPr="004D08A9" w:rsidRDefault="00136CF3" w:rsidP="00B2380D">
      <w:pPr>
        <w:pStyle w:val="Heading3"/>
      </w:pPr>
      <w:r w:rsidRPr="004D08A9">
        <w:t>Du point de vue de l’UE, le marché unique a pour ainsi dire été paralysé. En outre, les mesures prises par les États membres en réaction à la crise ont fait naître un risque de conditions de concurrence inéquitables, et il convient d’y remédier de toute urgence.</w:t>
      </w:r>
      <w:r w:rsidR="00E61C24" w:rsidRPr="004D08A9">
        <w:t xml:space="preserve"> </w:t>
      </w:r>
      <w:r w:rsidRPr="004D08A9">
        <w:t>L’incertitude concernant les futurs investissements est montée en flèche et les principaux indicateurs, tels que l’Indice des directeurs d’achat ou la confiance des entreprises et des consommateurs, ont atteint des niveaux historiquement bas.</w:t>
      </w:r>
    </w:p>
    <w:p w:rsidR="00216655" w:rsidRPr="004D08A9" w:rsidRDefault="00216655">
      <w:pPr>
        <w:spacing w:line="288" w:lineRule="auto"/>
        <w:ind w:left="709" w:hanging="709"/>
        <w:jc w:val="both"/>
        <w:rPr>
          <w:sz w:val="22"/>
          <w:szCs w:val="22"/>
        </w:rPr>
      </w:pPr>
    </w:p>
    <w:p w:rsidR="00136CF3" w:rsidRPr="004D08A9" w:rsidRDefault="00B10BA1" w:rsidP="00B2380D">
      <w:pPr>
        <w:pStyle w:val="Heading3"/>
      </w:pPr>
      <w:r w:rsidRPr="004D08A9">
        <w:t>Les conséquences économiques et sociales les plus graves se manifesteront très probablement a</w:t>
      </w:r>
      <w:r w:rsidR="004D08A9">
        <w:t>u</w:t>
      </w:r>
      <w:r w:rsidRPr="004D08A9">
        <w:t xml:space="preserve"> cours du deuxième trimestre de cette année, en fonction de l’intensité avec laquelle elles frapperont les différents secteurs. Au second semestre 2020, nous pouvons nous attendre à une certaine reprise économique, selon une forme qui pourrait toutef</w:t>
      </w:r>
      <w:r w:rsidR="004D08A9">
        <w:t>ois varier d’un pays à l’autre.</w:t>
      </w:r>
    </w:p>
    <w:p w:rsidR="00016172" w:rsidRPr="004D08A9" w:rsidRDefault="00016172">
      <w:pPr>
        <w:spacing w:line="288" w:lineRule="auto"/>
        <w:ind w:left="709" w:hanging="709"/>
        <w:jc w:val="both"/>
        <w:rPr>
          <w:sz w:val="22"/>
          <w:szCs w:val="22"/>
        </w:rPr>
      </w:pPr>
    </w:p>
    <w:p w:rsidR="00136CF3" w:rsidRPr="004D08A9" w:rsidRDefault="00136CF3" w:rsidP="00B2380D">
      <w:pPr>
        <w:pStyle w:val="Heading3"/>
      </w:pPr>
      <w:r w:rsidRPr="004D08A9">
        <w:t>Mais plus grave encore, le choc a totalement bouleversé et transformé nos modèles et habitudes de vie traditionnels. Dans le cadre du processus de relance et de redémarrage, s’il convient de mettre l’accent sur le rétablissement des performances économiques, il est peut-être plus urgent et plus important encore de donner de l’espoir et de permettre aux citoyens de s’adapter à la «nouvelle normalité», notamment en respectant pleinement les principes du développement durable.</w:t>
      </w:r>
    </w:p>
    <w:p w:rsidR="00216655" w:rsidRPr="004D08A9" w:rsidRDefault="00216655">
      <w:pPr>
        <w:spacing w:line="288" w:lineRule="auto"/>
        <w:ind w:left="709" w:hanging="709"/>
        <w:jc w:val="both"/>
        <w:rPr>
          <w:sz w:val="22"/>
          <w:szCs w:val="22"/>
        </w:rPr>
      </w:pPr>
    </w:p>
    <w:p w:rsidR="00357D11" w:rsidRPr="004D08A9" w:rsidRDefault="00357D11" w:rsidP="00526A32">
      <w:pPr>
        <w:pStyle w:val="Heading2"/>
        <w:keepNext/>
        <w:keepLines/>
        <w:rPr>
          <w:b/>
        </w:rPr>
      </w:pPr>
      <w:r w:rsidRPr="004D08A9">
        <w:rPr>
          <w:b/>
        </w:rPr>
        <w:t>Conséquences sociales</w:t>
      </w:r>
    </w:p>
    <w:p w:rsidR="00016172" w:rsidRPr="004D08A9" w:rsidRDefault="00016172" w:rsidP="00526A32">
      <w:pPr>
        <w:keepNext/>
        <w:keepLines/>
        <w:spacing w:line="288" w:lineRule="auto"/>
        <w:ind w:left="709" w:hanging="709"/>
        <w:jc w:val="both"/>
        <w:rPr>
          <w:b/>
          <w:sz w:val="22"/>
          <w:szCs w:val="22"/>
        </w:rPr>
      </w:pPr>
    </w:p>
    <w:p w:rsidR="00016172" w:rsidRPr="004D08A9" w:rsidRDefault="00357D11" w:rsidP="00B2380D">
      <w:pPr>
        <w:pStyle w:val="Heading3"/>
      </w:pPr>
      <w:r w:rsidRPr="004D08A9">
        <w:t xml:space="preserve">Les conséquences de la pandémie pèseront lourdement sur les résultats du marché du travail. Au-delà des préoccupations urgentes concernant la santé des travailleurs et de leurs familles, le virus et les chocs économiques qu’il a provoqués affecteront le monde du travail sur trois plans majeurs: 1) la quantité d’emplois (chômage et sous-emploi); 2) la qualité du travail; et 3) les conséquences sur les groupes spécifiques plus vulnérables à des résultats négatifs sur le marché du travail. Certaines catégories de </w:t>
      </w:r>
      <w:r w:rsidRPr="004D08A9">
        <w:lastRenderedPageBreak/>
        <w:t xml:space="preserve">travailleurs sont plus touchées que d’autres car elles sont dépourvues de filet de protection sociale: les jeunes qui occupent des emplois précaires; les travailleurs âgés; les travailleurs handicapés; les femmes, qui sont surreprésentées dans les secteurs les plus gravement affectés par la crise ou qui restent à la maison pour s’occuper de membres de leur famille; les travailleurs indépendants ou les travailleurs de </w:t>
      </w:r>
      <w:proofErr w:type="spellStart"/>
      <w:r w:rsidRPr="004D08A9">
        <w:t>plateforme</w:t>
      </w:r>
      <w:proofErr w:type="spellEnd"/>
      <w:r w:rsidRPr="004D08A9">
        <w:t>; les travailleurs faiblement rémunérés; les travailleurs migrants et les travailleurs dits «invisibles», c’est-à-dire qui exercent un emploi non déclaré. Le nombre de travailleurs pauvres est également susceptible d’augmenter considérablement</w:t>
      </w:r>
      <w:r w:rsidR="00B72F60" w:rsidRPr="004D08A9">
        <w:rPr>
          <w:rStyle w:val="FootnoteReference"/>
        </w:rPr>
        <w:footnoteReference w:id="7"/>
      </w:r>
      <w:r w:rsidRPr="004D08A9">
        <w:t>.</w:t>
      </w:r>
    </w:p>
    <w:p w:rsidR="00016172" w:rsidRPr="004D08A9" w:rsidRDefault="00016172">
      <w:pPr>
        <w:spacing w:line="288" w:lineRule="auto"/>
        <w:ind w:left="709" w:hanging="709"/>
        <w:jc w:val="both"/>
        <w:rPr>
          <w:sz w:val="22"/>
          <w:szCs w:val="22"/>
        </w:rPr>
      </w:pPr>
    </w:p>
    <w:p w:rsidR="00016172" w:rsidRPr="004D08A9" w:rsidRDefault="005E6B56" w:rsidP="00B2380D">
      <w:pPr>
        <w:pStyle w:val="Heading3"/>
      </w:pPr>
      <w:r w:rsidRPr="004D08A9">
        <w:t>La sauvegarde de l’emploi et des revenus de tous les travailleurs est une priorité, et nous devons élaborer les politiques actuelles dans une perspective à long terme. L’Union a besoin d’une stratégie européenne forte de relance sociale et de reconstruction au niveau de l’UE et à l’échelon national, qui bénéficie de la participation active des partenaires sociaux, en vue de redynamiser l’économie, de préserver les droits des travailleurs et de garantir le bien-être pour tous. Des réformes institutionnelles et politiques plus profondes sont nécessaires pour consolider la relance et renforcer la résilience grâce à des systèmes de protection sociale solides et universels qui peuvent servir de stabilisateurs économiques et sociaux automatiques face aux crises. Cela contribuera également à rétablir la confiance dans les institutions et les gouvernements.</w:t>
      </w:r>
    </w:p>
    <w:p w:rsidR="00016172" w:rsidRPr="004D08A9" w:rsidRDefault="00016172">
      <w:pPr>
        <w:spacing w:line="288" w:lineRule="auto"/>
        <w:ind w:left="709" w:hanging="709"/>
        <w:jc w:val="both"/>
        <w:rPr>
          <w:sz w:val="22"/>
          <w:szCs w:val="22"/>
        </w:rPr>
      </w:pPr>
    </w:p>
    <w:p w:rsidR="001E161C" w:rsidRPr="004D08A9" w:rsidRDefault="008332A8" w:rsidP="00B2380D">
      <w:pPr>
        <w:pStyle w:val="Heading3"/>
      </w:pPr>
      <w:r w:rsidRPr="004D08A9">
        <w:t>Le dialogue social bipartite et tripartite entre les gouvernements et les organisations de travailleurs et d’employeurs est un outil essentiel pour élaborer et mettre en œuvre des solutions durables, de l’échelon local au niveau mondial. Des organisations de partenaires sociaux fortes, indépendantes et démocratiques sont indispensables à cet égard.</w:t>
      </w:r>
    </w:p>
    <w:p w:rsidR="002D2BD6" w:rsidRPr="004D08A9" w:rsidRDefault="002D2BD6">
      <w:pPr>
        <w:spacing w:line="288" w:lineRule="auto"/>
        <w:ind w:left="709" w:hanging="709"/>
        <w:jc w:val="both"/>
        <w:rPr>
          <w:sz w:val="22"/>
          <w:szCs w:val="22"/>
        </w:rPr>
      </w:pPr>
    </w:p>
    <w:p w:rsidR="00057B0C" w:rsidRPr="004D08A9" w:rsidRDefault="00310FBC" w:rsidP="00B2380D">
      <w:pPr>
        <w:pStyle w:val="Heading3"/>
      </w:pPr>
      <w:r w:rsidRPr="004D08A9">
        <w:t>Il convient en particulier de s’attacher à éviter une relance à deux vitesses à la suite de cette crise, comme cela a été le cas après la dernière crise. Il est nécessaire de soutenir tous les groupes sociaux pour qu’ils puissent se relever à l’unisson, sans que les plus vulnérables n’aient à attendre patiemment de bénéficier des mêmes améliorations en matière d’emploi et de niveau de vie que le reste de la population. Il faut notamment penser aux jeunes, aux personnes handicapées, aux personnes issues de minorités ethniques, ainsi qu’aux migrants et aux réfugiés.</w:t>
      </w:r>
    </w:p>
    <w:p w:rsidR="002D2BD6" w:rsidRPr="004D08A9" w:rsidRDefault="002D2BD6" w:rsidP="00B2380D">
      <w:pPr>
        <w:spacing w:line="288" w:lineRule="auto"/>
        <w:ind w:left="709" w:hanging="709"/>
        <w:jc w:val="both"/>
        <w:rPr>
          <w:sz w:val="22"/>
          <w:szCs w:val="22"/>
        </w:rPr>
      </w:pPr>
    </w:p>
    <w:p w:rsidR="00012BBE" w:rsidRPr="004D08A9" w:rsidRDefault="00D50874" w:rsidP="00B2380D">
      <w:pPr>
        <w:pStyle w:val="Heading3"/>
      </w:pPr>
      <w:r w:rsidRPr="004D08A9">
        <w:t>Une attention particulière doit également être accordée aux personnes inactives déjà confrontées à la pauvreté, ainsi qu’aux nouvelles catégories de victimes de la pauvreté qui devraient voir le jour, et des mesures spécifiques doivent être prises en leur faveur. Ces groupes risquent d’être davantage marginalisés et de faire face à de nombreux problèmes sociaux et sanitaires.</w:t>
      </w:r>
    </w:p>
    <w:p w:rsidR="00012BBE" w:rsidRPr="004D08A9" w:rsidRDefault="00012BBE" w:rsidP="00B2380D">
      <w:pPr>
        <w:spacing w:line="288" w:lineRule="auto"/>
        <w:jc w:val="both"/>
        <w:rPr>
          <w:sz w:val="22"/>
          <w:szCs w:val="22"/>
        </w:rPr>
      </w:pPr>
    </w:p>
    <w:p w:rsidR="00AB1AFE" w:rsidRPr="004D08A9" w:rsidRDefault="00012BBE" w:rsidP="00B2380D">
      <w:pPr>
        <w:pStyle w:val="Heading3"/>
      </w:pPr>
      <w:r w:rsidRPr="004D08A9">
        <w:t>Les organisations de la société civile (OSC) sont elles-mêmes les victimes des inégalités et des faiblesses du système. Leur capacité actuelle et future à répondre aux besoins est souvent menacée par la rareté et la nature fluctuante des ressources. Il convient de remédier à cette situation en mettant en place des mécanismes de financement pour ces organisations.</w:t>
      </w:r>
    </w:p>
    <w:p w:rsidR="00D43001" w:rsidRPr="004D08A9" w:rsidRDefault="00D43001">
      <w:pPr>
        <w:spacing w:line="288" w:lineRule="auto"/>
        <w:ind w:left="709" w:hanging="709"/>
        <w:rPr>
          <w:b/>
          <w:sz w:val="22"/>
          <w:szCs w:val="22"/>
        </w:rPr>
      </w:pPr>
    </w:p>
    <w:p w:rsidR="004C40CE" w:rsidRPr="004D08A9" w:rsidRDefault="004C40CE" w:rsidP="00526A32">
      <w:pPr>
        <w:pStyle w:val="Heading1"/>
        <w:keepNext/>
        <w:keepLines/>
        <w:rPr>
          <w:b/>
        </w:rPr>
      </w:pPr>
      <w:r w:rsidRPr="004D08A9">
        <w:rPr>
          <w:b/>
        </w:rPr>
        <w:lastRenderedPageBreak/>
        <w:t>Évaluation de la réaction de l’Union européenne face à la crise de la COVID-19</w:t>
      </w:r>
    </w:p>
    <w:p w:rsidR="00060E2A" w:rsidRPr="004D08A9" w:rsidRDefault="00060E2A" w:rsidP="00526A32">
      <w:pPr>
        <w:keepNext/>
        <w:keepLines/>
        <w:spacing w:line="288" w:lineRule="auto"/>
        <w:ind w:left="709" w:hanging="709"/>
        <w:rPr>
          <w:b/>
          <w:sz w:val="22"/>
          <w:szCs w:val="22"/>
        </w:rPr>
      </w:pPr>
    </w:p>
    <w:p w:rsidR="00D839D0" w:rsidRPr="004D08A9" w:rsidRDefault="00D839D0" w:rsidP="00526A32">
      <w:pPr>
        <w:pStyle w:val="Heading2"/>
        <w:keepNext/>
        <w:keepLines/>
        <w:rPr>
          <w:b/>
        </w:rPr>
      </w:pPr>
      <w:r w:rsidRPr="004D08A9">
        <w:rPr>
          <w:b/>
        </w:rPr>
        <w:t>Mesures d’urgence</w:t>
      </w:r>
    </w:p>
    <w:p w:rsidR="00D839D0" w:rsidRPr="004D08A9" w:rsidRDefault="00D839D0" w:rsidP="00526A32">
      <w:pPr>
        <w:keepNext/>
        <w:keepLines/>
        <w:spacing w:line="288" w:lineRule="auto"/>
        <w:ind w:left="709" w:hanging="709"/>
        <w:jc w:val="both"/>
        <w:rPr>
          <w:sz w:val="22"/>
          <w:szCs w:val="22"/>
        </w:rPr>
      </w:pPr>
    </w:p>
    <w:p w:rsidR="003C694C" w:rsidRPr="004D08A9" w:rsidRDefault="003C694C" w:rsidP="00B2380D">
      <w:pPr>
        <w:pStyle w:val="Heading3"/>
      </w:pPr>
      <w:r w:rsidRPr="004D08A9">
        <w:t>Actuellement, en Europe (et de manière équivalente dans le monde entier), la pandémie de COVID-19 détermine tous les aspects de notre quotidien, y compris l’activité, l’organisation et les systèmes économiques. Les instruments de l’économie et des politiques économiques sont entièrement subordonnés à la résolution effective de la crise et contribuent de manière substantielle à y mettre un terme. Cela étant, même en cette période critique, il convient de garantir:</w:t>
      </w:r>
    </w:p>
    <w:p w:rsidR="00216655" w:rsidRPr="004D08A9" w:rsidRDefault="00216655">
      <w:pPr>
        <w:spacing w:line="288" w:lineRule="auto"/>
        <w:ind w:left="709" w:hanging="709"/>
        <w:jc w:val="both"/>
        <w:rPr>
          <w:sz w:val="22"/>
          <w:szCs w:val="22"/>
        </w:rPr>
      </w:pPr>
    </w:p>
    <w:p w:rsidR="003C694C" w:rsidRPr="004D08A9" w:rsidRDefault="003C694C">
      <w:pPr>
        <w:numPr>
          <w:ilvl w:val="0"/>
          <w:numId w:val="24"/>
        </w:numPr>
        <w:spacing w:line="288" w:lineRule="auto"/>
        <w:ind w:left="1066" w:hanging="357"/>
        <w:jc w:val="both"/>
        <w:rPr>
          <w:sz w:val="22"/>
          <w:szCs w:val="22"/>
        </w:rPr>
      </w:pPr>
      <w:r w:rsidRPr="004D08A9">
        <w:rPr>
          <w:sz w:val="22"/>
          <w:szCs w:val="22"/>
        </w:rPr>
        <w:t>que les sources de financement mobilisées soient utilisées efficacement et bien ciblées en fonction des besoins;</w:t>
      </w:r>
    </w:p>
    <w:p w:rsidR="003C694C" w:rsidRPr="004D08A9" w:rsidRDefault="003C694C">
      <w:pPr>
        <w:numPr>
          <w:ilvl w:val="0"/>
          <w:numId w:val="24"/>
        </w:numPr>
        <w:spacing w:line="288" w:lineRule="auto"/>
        <w:ind w:left="1066" w:hanging="357"/>
        <w:jc w:val="both"/>
        <w:rPr>
          <w:sz w:val="22"/>
          <w:szCs w:val="22"/>
        </w:rPr>
      </w:pPr>
      <w:r w:rsidRPr="004D08A9">
        <w:rPr>
          <w:sz w:val="22"/>
          <w:szCs w:val="22"/>
        </w:rPr>
        <w:t>que tous les bénéficiaires éligibles (personnes physiques, sociétés et entreprises, organisations à but non lucratif, prestataires de services publics, etc.) touchés par la pandémie reçoivent une compensation équitable;</w:t>
      </w:r>
    </w:p>
    <w:p w:rsidR="003C694C" w:rsidRPr="004D08A9" w:rsidRDefault="003C694C">
      <w:pPr>
        <w:numPr>
          <w:ilvl w:val="0"/>
          <w:numId w:val="24"/>
        </w:numPr>
        <w:spacing w:line="288" w:lineRule="auto"/>
        <w:ind w:left="1066" w:hanging="357"/>
        <w:jc w:val="both"/>
        <w:rPr>
          <w:sz w:val="22"/>
          <w:szCs w:val="22"/>
        </w:rPr>
      </w:pPr>
      <w:r w:rsidRPr="004D08A9">
        <w:rPr>
          <w:sz w:val="22"/>
          <w:szCs w:val="22"/>
        </w:rPr>
        <w:t>que l’économie soit prête à redémarrer dès la fin de la pandémie, et que des leçons en aient été tirées sur les questions sociales qui doivent être traitées de toute urgence.</w:t>
      </w:r>
    </w:p>
    <w:p w:rsidR="0077218C" w:rsidRPr="004D08A9" w:rsidRDefault="0077218C">
      <w:pPr>
        <w:spacing w:line="288" w:lineRule="auto"/>
        <w:ind w:left="709" w:hanging="709"/>
        <w:jc w:val="both"/>
        <w:rPr>
          <w:sz w:val="22"/>
          <w:szCs w:val="22"/>
        </w:rPr>
      </w:pPr>
    </w:p>
    <w:p w:rsidR="003C694C" w:rsidRPr="004D08A9" w:rsidRDefault="003C694C" w:rsidP="00B2380D">
      <w:pPr>
        <w:pStyle w:val="Heading3"/>
      </w:pPr>
      <w:r w:rsidRPr="004D08A9">
        <w:t>Bien que le marché et l’économie ne puissent pas jouer le rôle de diagnosticien ni d’évaluateur face à un problème médical inconnu, il serait en même temps pratiquement impossible de résoudre le problème de la pandémie sans tenir dûment compte des coûts et des conséquences qu’elle implique sur les plans économique et financier.</w:t>
      </w:r>
    </w:p>
    <w:p w:rsidR="009A0B23" w:rsidRPr="004D08A9" w:rsidRDefault="009A0B23" w:rsidP="00B2380D">
      <w:pPr>
        <w:rPr>
          <w:lang w:eastAsia="en-US"/>
        </w:rPr>
      </w:pPr>
    </w:p>
    <w:p w:rsidR="005E6B56" w:rsidRPr="004D08A9" w:rsidRDefault="005E6B56" w:rsidP="00B2380D">
      <w:pPr>
        <w:pStyle w:val="Heading3"/>
      </w:pPr>
      <w:r w:rsidRPr="004D08A9">
        <w:t>Jusqu’à présent, les États membres ainsi que les différentes institutions de l’UE ont adopté un ensemble de mesures d’urgence, de prévention, de stabilisation et de compensation en réaction à la crise. Ces mesures peuvent être regroupées en plusieurs catégories en fonction de leur typologie: mesures monétaires et de stabilisation, mesures budgétaires, mesures fondées sur des garanties et des crédits, et mesures réglementaires et procédurales. Elles sont axées sur l’ensemble des aspects de la vie des citoyens, et plus particulièrement sur l’économie et le commerce, et sur les questions sociales (voir annexe 1).</w:t>
      </w:r>
    </w:p>
    <w:p w:rsidR="005E6B56" w:rsidRPr="004D08A9" w:rsidRDefault="005E6B56">
      <w:pPr>
        <w:pStyle w:val="Kleurrijkelijst-accent11"/>
        <w:spacing w:line="288" w:lineRule="auto"/>
        <w:ind w:left="709" w:hanging="709"/>
        <w:jc w:val="both"/>
        <w:rPr>
          <w:rFonts w:ascii="Times New Roman" w:hAnsi="Times New Roman"/>
          <w:bCs/>
          <w:sz w:val="22"/>
        </w:rPr>
      </w:pPr>
    </w:p>
    <w:p w:rsidR="005E6B56" w:rsidRPr="004D08A9" w:rsidRDefault="005E6B56" w:rsidP="00B2380D">
      <w:pPr>
        <w:pStyle w:val="Heading3"/>
      </w:pPr>
      <w:r w:rsidRPr="004D08A9">
        <w:t>Ces mesures forment un assortiment complet de politiques économiques, comprenant: une réaction de politique monétaire, qui consiste principalement en une nouvelle vague d’assouplissement quantitatif, assortie d’un nouveau système d’achat de titres visant à soutenir la liquidité des marchés financiers sous la responsabilité de la BCE; une fonction de stabilisation macroéconomique assurée par le mécanisme européen de stabilité (MES); un ensemble de mesures budgétaires, à commencer par l’assouplissement temporaire des règles budgétaires et des règles relatives aux aides d’État, par l’injection de montants considérables en faveur des entreprises et des personnes touchés par la pandémie; le report des obligations de remboursement et la réaffectation massive des flux budgétaires de l’UE. L’ensemble des mesures réglementaires et procédurales de différentes natures est également fondamental.</w:t>
      </w:r>
    </w:p>
    <w:p w:rsidR="005E6B56" w:rsidRPr="004D08A9" w:rsidRDefault="005E6B56">
      <w:pPr>
        <w:pStyle w:val="Kleurrijkelijst-accent11"/>
        <w:spacing w:line="288" w:lineRule="auto"/>
        <w:ind w:left="709" w:hanging="709"/>
        <w:jc w:val="both"/>
        <w:rPr>
          <w:rFonts w:ascii="Times New Roman" w:hAnsi="Times New Roman"/>
          <w:bCs/>
          <w:sz w:val="22"/>
        </w:rPr>
      </w:pPr>
    </w:p>
    <w:p w:rsidR="005E6B56" w:rsidRPr="004D08A9" w:rsidRDefault="005E6B56" w:rsidP="00B2380D">
      <w:pPr>
        <w:pStyle w:val="Heading3"/>
      </w:pPr>
      <w:r w:rsidRPr="004D08A9">
        <w:t xml:space="preserve">Le volume des sources de financement liées aux mesures de soutien à la société européenne est estimé à près de 3 000 milliards d’euros (soit 16 % du PIB de l’UE en 2019). Jusqu’à présent, ce montant correspond à un ensemble de mesures de politique économique mises en œuvre au niveau de l’UE et, surtout, des États membres. Dans le cadre du plan initial de réaction de l’Union européenne face au coronavirus sur le plan économique, seuls 165 milliards d’euros sont directement issus de sources de financement communes de l’UE, sous la forme de subventions et d’instruments financiers; les autres </w:t>
      </w:r>
      <w:r w:rsidRPr="004D08A9">
        <w:lastRenderedPageBreak/>
        <w:t>dispositifs lancés par l’UE comprennent des mesures visant à soutenir la trésorerie, à assouplir les règles ou à créer des instruments financiers fondés sur des garanties; toutes les autres mesures budgétaires directes ont été prises ou mises en œuvre par les États membres.</w:t>
      </w:r>
      <w:r w:rsidR="00E61C24" w:rsidRPr="004D08A9">
        <w:t xml:space="preserve"> </w:t>
      </w:r>
      <w:r w:rsidRPr="004D08A9">
        <w:t>La part des mesures prises à l’</w:t>
      </w:r>
      <w:proofErr w:type="spellStart"/>
      <w:r w:rsidRPr="004D08A9">
        <w:t>initative</w:t>
      </w:r>
      <w:proofErr w:type="spellEnd"/>
      <w:r w:rsidRPr="004D08A9">
        <w:t xml:space="preserve"> de l’UE a ensuite augmenté.</w:t>
      </w:r>
    </w:p>
    <w:p w:rsidR="0077218C" w:rsidRPr="004D08A9" w:rsidRDefault="0077218C">
      <w:pPr>
        <w:pStyle w:val="Kleurrijkelijst-accent11"/>
        <w:spacing w:line="288" w:lineRule="auto"/>
        <w:ind w:left="709" w:hanging="709"/>
        <w:contextualSpacing w:val="0"/>
        <w:jc w:val="both"/>
        <w:rPr>
          <w:rFonts w:ascii="Times New Roman" w:hAnsi="Times New Roman"/>
          <w:bCs/>
          <w:sz w:val="22"/>
        </w:rPr>
      </w:pPr>
    </w:p>
    <w:p w:rsidR="005E6B56" w:rsidRPr="004D08A9" w:rsidRDefault="005E6B56" w:rsidP="00B2380D">
      <w:pPr>
        <w:pStyle w:val="Heading3"/>
      </w:pPr>
      <w:r w:rsidRPr="004D08A9">
        <w:t xml:space="preserve">Tout récemment, la Commission européenne a marqué un tournant à cet égard, avec son train de mesures sur le financement futur de l’Union, dans lequel elle propose un instrument européen temporaire d’urgence pour la relance (appelé «Next </w:t>
      </w:r>
      <w:proofErr w:type="spellStart"/>
      <w:r w:rsidRPr="004D08A9">
        <w:t>Generation</w:t>
      </w:r>
      <w:proofErr w:type="spellEnd"/>
      <w:r w:rsidRPr="004D08A9">
        <w:t xml:space="preserve"> EU») ainsi qu’un ajustement substantiel de la proposition initiale de cadre financier pluriannuel (CFP) de l’UE pour 2021-2027.</w:t>
      </w:r>
    </w:p>
    <w:p w:rsidR="00130791" w:rsidRPr="004D08A9" w:rsidRDefault="00130791">
      <w:pPr>
        <w:pStyle w:val="Kleurrijkelijst-accent11"/>
        <w:spacing w:line="288" w:lineRule="auto"/>
        <w:ind w:left="709" w:hanging="709"/>
        <w:jc w:val="both"/>
        <w:rPr>
          <w:rFonts w:ascii="Times New Roman" w:hAnsi="Times New Roman"/>
          <w:bCs/>
          <w:sz w:val="22"/>
        </w:rPr>
      </w:pPr>
    </w:p>
    <w:p w:rsidR="007D6DC4" w:rsidRPr="004D08A9" w:rsidRDefault="00137A12" w:rsidP="00B2380D">
      <w:pPr>
        <w:pStyle w:val="Heading3"/>
      </w:pPr>
      <w:r w:rsidRPr="004D08A9">
        <w:t xml:space="preserve">Enfin, avec l’ensemble complet de mesures annoncé à la toute fin du mois de mai, la Commission européenne contribue largement à résoudre la situation actuelle. Ces mesures sont assorties d’un nouvel instrument solide et bien ciblé, exclusivement axé sur la sortie de crise, le redémarrage et la relance après la COVID-19. Elles s’efforcent de se concentrer sur les besoins réels afin de préserver l’homogénéité et le bon fonctionnement du marché unique. Le modèle de financement semble plutôt bien fondé, et représente une innovation ainsi qu’une solidarité envers les États membres. Le fonctionnement du futur instrument «Next </w:t>
      </w:r>
      <w:proofErr w:type="spellStart"/>
      <w:r w:rsidRPr="004D08A9">
        <w:t>Generation</w:t>
      </w:r>
      <w:proofErr w:type="spellEnd"/>
      <w:r w:rsidRPr="004D08A9">
        <w:t xml:space="preserve"> EU» doit venir compléter le nouveau cadre financier pluriannuel, qui doit également prendre suffisamment en compte d’autres priorités de l’UE, non nécessairement liées à la pandémie (par exemple le pacte vert pour l’Europe, l’amélioration du marché unique et des conditions permettant la compétitivité de l’UE, le socle européen des droits sociaux et l’ajustement progressif aux principes de développement durable, ainsi que l’ensemble des traités et conventions internationaux signés et ratifiés par l’UE et ses États membres).</w:t>
      </w:r>
    </w:p>
    <w:p w:rsidR="007D6DC4" w:rsidRPr="004D08A9" w:rsidRDefault="007D6DC4">
      <w:pPr>
        <w:pStyle w:val="Kleurrijkelijst-accent11"/>
        <w:spacing w:line="288" w:lineRule="auto"/>
        <w:ind w:left="0"/>
        <w:jc w:val="both"/>
        <w:rPr>
          <w:rFonts w:ascii="Times New Roman" w:hAnsi="Times New Roman"/>
          <w:bCs/>
          <w:sz w:val="22"/>
        </w:rPr>
      </w:pPr>
    </w:p>
    <w:p w:rsidR="00A253AE" w:rsidRPr="004D08A9" w:rsidRDefault="00A253AE" w:rsidP="00526A32">
      <w:pPr>
        <w:pStyle w:val="Heading2"/>
        <w:keepNext/>
        <w:keepLines/>
        <w:rPr>
          <w:b/>
        </w:rPr>
      </w:pPr>
      <w:r w:rsidRPr="004D08A9">
        <w:rPr>
          <w:b/>
        </w:rPr>
        <w:t>Analyse et conclusions concernant le caractère adéquat et/ou (in)suffisant de ces mesures</w:t>
      </w:r>
    </w:p>
    <w:p w:rsidR="00983C93" w:rsidRPr="004D08A9" w:rsidRDefault="00983C93" w:rsidP="00526A32">
      <w:pPr>
        <w:pStyle w:val="ListParagraph"/>
        <w:keepNext/>
        <w:keepLines/>
        <w:spacing w:line="288" w:lineRule="auto"/>
        <w:ind w:left="709" w:hanging="709"/>
        <w:jc w:val="both"/>
        <w:rPr>
          <w:rFonts w:ascii="Times New Roman" w:hAnsi="Times New Roman"/>
          <w:bCs/>
          <w:sz w:val="22"/>
        </w:rPr>
      </w:pPr>
    </w:p>
    <w:p w:rsidR="00A253AE" w:rsidRPr="004D08A9" w:rsidRDefault="00A253AE" w:rsidP="00B2380D">
      <w:pPr>
        <w:pStyle w:val="Heading3"/>
      </w:pPr>
      <w:r w:rsidRPr="004D08A9">
        <w:t>Comme mentionné précédemment, la problématique est à ce point globale que la bonne solution ne pourra être trouvée que grâce à une combinaison de politiques bien coordonnée et des compétences claires pour les différents acteurs, ainsi qu’à un ciblage pertinent et un calendrier d’action. Parmi les mesures adoptées figurent plusieurs nouvelles approches innovantes qui pourront également être utilisées pour la période suivante.</w:t>
      </w:r>
    </w:p>
    <w:p w:rsidR="00983C93" w:rsidRPr="004D08A9" w:rsidRDefault="00983C93">
      <w:pPr>
        <w:pStyle w:val="ListParagraph"/>
        <w:spacing w:line="288" w:lineRule="auto"/>
        <w:ind w:left="709" w:hanging="709"/>
        <w:jc w:val="both"/>
        <w:rPr>
          <w:rFonts w:ascii="Times New Roman" w:hAnsi="Times New Roman"/>
          <w:bCs/>
          <w:sz w:val="22"/>
        </w:rPr>
      </w:pPr>
    </w:p>
    <w:p w:rsidR="00A253AE" w:rsidRPr="004D08A9" w:rsidRDefault="00FE3A03" w:rsidP="00B2380D">
      <w:pPr>
        <w:pStyle w:val="Heading3"/>
      </w:pPr>
      <w:r w:rsidRPr="004D08A9">
        <w:t xml:space="preserve">C’est la première fois depuis la dernière crise et ses répercussions que le MES nouvellement créé </w:t>
      </w:r>
      <w:r w:rsidR="001A68C0">
        <w:t>a</w:t>
      </w:r>
      <w:r w:rsidRPr="004D08A9">
        <w:t xml:space="preserve"> la possibilité de stabiliser l’environnement macroéconomique de la zone euro. La réponse sur le plan de la politique monétaire a aussi été très pertinente pour permettre au secteur financier de rester fonctionnel et efficace, avec des liquidités suffisantes. D’autres mesures essentielles sont celles qui introduisent des règles plus souples en matière d’aides d’État et de discipline budgétaire, et qui permettent de maintenir en circulation les ressources financières lorsque le risque de baisse de la</w:t>
      </w:r>
      <w:r w:rsidR="001A68C0">
        <w:t xml:space="preserve"> demande globale s’accélère. Il </w:t>
      </w:r>
      <w:r w:rsidRPr="004D08A9">
        <w:t>relevait de la plus haute importance d’indemniser aussi rapidement que possible toutes les entités touchées par la crise – particuliers, entreprises et organisations sans but lucratif – en reportant leurs obligations et en compensant les dommages subis durant la période de confinement.</w:t>
      </w:r>
    </w:p>
    <w:p w:rsidR="00983C93" w:rsidRPr="004D08A9" w:rsidRDefault="00983C93">
      <w:pPr>
        <w:pStyle w:val="ListParagraph"/>
        <w:spacing w:line="288" w:lineRule="auto"/>
        <w:ind w:left="709" w:hanging="709"/>
        <w:jc w:val="both"/>
        <w:rPr>
          <w:rFonts w:ascii="Times New Roman" w:hAnsi="Times New Roman"/>
          <w:bCs/>
          <w:sz w:val="22"/>
        </w:rPr>
      </w:pPr>
    </w:p>
    <w:p w:rsidR="00A253AE" w:rsidRPr="004D08A9" w:rsidRDefault="00FE3A03" w:rsidP="00B2380D">
      <w:pPr>
        <w:pStyle w:val="Heading3"/>
      </w:pPr>
      <w:r w:rsidRPr="004D08A9">
        <w:t xml:space="preserve">Les mesures d’urgence ont également été tout à fait appropriées. La réalité sur le terrain a montré qu’en période de risques impérieux, les États membres préfèrent encore gérer eux-mêmes la situation. Il était nécessaire d’adopter certaines mesures coordonnées liées à la fourniture de matériel et d’équipements médicaux essentiels non seulement pour des raisons pratiques, mais aussi pour donner un sens aux valeurs du marché unique européen. Cela constitue en outre une source d’inspiration pour l’introduction de mesures de sortie de crise et la levée des restrictions, qui devront être soigneusement coordonnées. </w:t>
      </w:r>
      <w:r w:rsidRPr="004D08A9">
        <w:lastRenderedPageBreak/>
        <w:t>Cette situation d’urgence ouvre également une voie royale aux instrume</w:t>
      </w:r>
      <w:r w:rsidR="001A68C0">
        <w:t>nts fondés sur des garanties et </w:t>
      </w:r>
      <w:r w:rsidRPr="004D08A9">
        <w:t>des crédits, relevant cette fois principalement de l’éventail d’instruments de la BEI. Elle reflète la nécessité d’engager davantage le capital privé, dans le cadre des règles d’allocation concernant l’intérêt public. Lorsque les besoins réels dépassent aussi largement les ressources limitées des finances publiques, il s’agit de la seule solution qui puisse être développée</w:t>
      </w:r>
      <w:r w:rsidR="001A68C0">
        <w:t xml:space="preserve"> plus avant dans un contexte de </w:t>
      </w:r>
      <w:r w:rsidRPr="004D08A9">
        <w:t>«nouvelle normalité».</w:t>
      </w:r>
    </w:p>
    <w:p w:rsidR="00983C93" w:rsidRPr="004D08A9" w:rsidRDefault="00983C93">
      <w:pPr>
        <w:pStyle w:val="ListParagraph"/>
        <w:spacing w:line="288" w:lineRule="auto"/>
        <w:ind w:left="709" w:hanging="709"/>
        <w:jc w:val="both"/>
        <w:rPr>
          <w:rFonts w:ascii="Times New Roman" w:hAnsi="Times New Roman"/>
          <w:bCs/>
          <w:sz w:val="22"/>
        </w:rPr>
      </w:pPr>
    </w:p>
    <w:p w:rsidR="00A253AE" w:rsidRPr="004D08A9" w:rsidRDefault="00A253AE" w:rsidP="00B2380D">
      <w:pPr>
        <w:pStyle w:val="Heading3"/>
      </w:pPr>
      <w:r w:rsidRPr="004D08A9">
        <w:t>À l’</w:t>
      </w:r>
      <w:proofErr w:type="spellStart"/>
      <w:r w:rsidRPr="004D08A9">
        <w:t>instar</w:t>
      </w:r>
      <w:proofErr w:type="spellEnd"/>
      <w:r w:rsidRPr="004D08A9">
        <w:t xml:space="preserve"> de celle que nous avons connue il y a dix ans, la crise actuelle met également en lumière les limites considérables de la capacité de réaction du budget de l’UE aux chocs imprévus, surtout quand ceux-ci surviennent à la fin de la période du cadre financier en cours. Le degré de flexibilité du budget européen s’est révélé à plusieurs reprises être l’une des principales faiblesses de l’architecture financière de l’UE. Lorsque le besoin de mobiliser un volume de ressources financières réellement important se fait sentir, il est nécessaire de créer un nouvel instrument financier (comme l’instrument «Next </w:t>
      </w:r>
      <w:proofErr w:type="spellStart"/>
      <w:r w:rsidRPr="004D08A9">
        <w:t>Generation</w:t>
      </w:r>
      <w:proofErr w:type="spellEnd"/>
      <w:r w:rsidRPr="004D08A9">
        <w:t xml:space="preserve"> EU»), ou il faudra s’en remettre aux États membres pour le faire. La situation actuelle souligne le besoin d’améliorer encore le système financier de l’Union, surtout dans le cas de chocs imprévus; la base financière européenne commune qu’offre le modèle actuel est insuffisante pour soutenir la stabilité macroéconomique de l’Union et de la zone euro.</w:t>
      </w:r>
    </w:p>
    <w:p w:rsidR="00A253AE" w:rsidRPr="004D08A9" w:rsidRDefault="00A253AE">
      <w:pPr>
        <w:pStyle w:val="ListParagraph"/>
        <w:spacing w:line="288" w:lineRule="auto"/>
        <w:ind w:left="709" w:hanging="709"/>
        <w:jc w:val="both"/>
        <w:rPr>
          <w:rFonts w:ascii="Times New Roman" w:hAnsi="Times New Roman"/>
          <w:bCs/>
          <w:sz w:val="22"/>
        </w:rPr>
      </w:pPr>
    </w:p>
    <w:p w:rsidR="00A253AE" w:rsidRPr="004D08A9" w:rsidRDefault="00A253AE" w:rsidP="00526A32">
      <w:pPr>
        <w:pStyle w:val="Heading2"/>
        <w:keepNext/>
        <w:keepLines/>
        <w:rPr>
          <w:b/>
        </w:rPr>
      </w:pPr>
      <w:r w:rsidRPr="004D08A9">
        <w:rPr>
          <w:b/>
        </w:rPr>
        <w:t xml:space="preserve">Évaluation des compétences des institutions de l’UE pour fournir de telles mesures </w:t>
      </w:r>
    </w:p>
    <w:p w:rsidR="00983C93" w:rsidRPr="004D08A9" w:rsidRDefault="00983C93" w:rsidP="00526A32">
      <w:pPr>
        <w:pStyle w:val="ListParagraph"/>
        <w:keepNext/>
        <w:keepLines/>
        <w:spacing w:line="288" w:lineRule="auto"/>
        <w:ind w:left="709" w:hanging="709"/>
        <w:jc w:val="both"/>
        <w:rPr>
          <w:rFonts w:ascii="Times New Roman" w:hAnsi="Times New Roman"/>
          <w:bCs/>
          <w:sz w:val="22"/>
        </w:rPr>
      </w:pPr>
    </w:p>
    <w:p w:rsidR="00A253AE" w:rsidRPr="004D08A9" w:rsidRDefault="00A253AE" w:rsidP="00B2380D">
      <w:pPr>
        <w:pStyle w:val="Heading3"/>
      </w:pPr>
      <w:r w:rsidRPr="004D08A9">
        <w:t>Au vu de la description et de l’analyse présentées ci-dessus, nous apprécions vivement la décision pertinente et rapide de la BCE et de l’</w:t>
      </w:r>
      <w:proofErr w:type="spellStart"/>
      <w:r w:rsidRPr="004D08A9">
        <w:t>Eurogroupe</w:t>
      </w:r>
      <w:proofErr w:type="spellEnd"/>
      <w:r w:rsidRPr="004D08A9">
        <w:t xml:space="preserve"> d’activer le MES. De même, la réaction de la Commission européenne, concernant plus particulièrement l’adoption de règles plus flexibles et de mesures d’urgence visant à soutenir la chaîne de distribution de biens et d’équipements essentiels pour réagir au début de la pandémie et à sa propagation, était extrêmement judicieuse. Après quelque temps, la Commission a commencé à assumer un rôle de </w:t>
      </w:r>
      <w:r w:rsidR="00E61C24" w:rsidRPr="004D08A9">
        <w:t>chef</w:t>
      </w:r>
      <w:r w:rsidRPr="004D08A9">
        <w:t xml:space="preserve"> de fil en introduisant et en mettant en œuvre l’ensemble complet de mesures du mois de mai, et notamment la nouvelle proposition de CFP ajusté et l’instrument «New </w:t>
      </w:r>
      <w:proofErr w:type="spellStart"/>
      <w:r w:rsidRPr="004D08A9">
        <w:t>Generation</w:t>
      </w:r>
      <w:proofErr w:type="spellEnd"/>
      <w:r w:rsidRPr="004D08A9">
        <w:t xml:space="preserve"> EU». Il importe à présent d’obtenir le soutien des États membres pour parvenir à un consensus concernant le train de mesures et le mettre en œuvre dès que possible dans la pratique. Le plus grand enseignement à tirer de la situation actuelle est que l’UE dans son ensemble demeure très vulnérable en cas de chocs exogènes de grande ampleur et qu’en dépit des améliorations continues, elle reste plutôt mal équipée pour y faire face. L’exemple le plus parlant à cet égard réside dans le degré de flexibilité et de préparation très limité du budget de l’UE lorsqu’il s’agit de réagir à ce type de situation.</w:t>
      </w:r>
    </w:p>
    <w:p w:rsidR="00983C93" w:rsidRPr="004D08A9" w:rsidRDefault="00983C93">
      <w:pPr>
        <w:pStyle w:val="ListParagraph"/>
        <w:spacing w:line="288" w:lineRule="auto"/>
        <w:ind w:left="709" w:hanging="709"/>
        <w:jc w:val="both"/>
        <w:rPr>
          <w:rFonts w:ascii="Times New Roman" w:hAnsi="Times New Roman"/>
          <w:bCs/>
          <w:sz w:val="22"/>
        </w:rPr>
      </w:pPr>
    </w:p>
    <w:p w:rsidR="00A253AE" w:rsidRPr="004D08A9" w:rsidRDefault="00A253AE" w:rsidP="00B2380D">
      <w:pPr>
        <w:pStyle w:val="Heading3"/>
      </w:pPr>
      <w:r w:rsidRPr="004D08A9">
        <w:t>De plus, un certain temps s’est écoulé avant que les institutions et les États membres de l’UE ne commencent à adopter des mesures visant à sauvegarder l’intégrité, l’homogénéité et l’efficacité du marché unique, la principale réalisation économique du processus d’intégration européenne.</w:t>
      </w:r>
    </w:p>
    <w:p w:rsidR="00094C20" w:rsidRPr="004D08A9" w:rsidRDefault="00094C20">
      <w:pPr>
        <w:pStyle w:val="ListParagraph"/>
        <w:spacing w:line="288" w:lineRule="auto"/>
        <w:ind w:left="709" w:hanging="709"/>
        <w:jc w:val="both"/>
        <w:rPr>
          <w:rFonts w:ascii="Times New Roman" w:hAnsi="Times New Roman"/>
          <w:bCs/>
          <w:sz w:val="22"/>
        </w:rPr>
      </w:pPr>
    </w:p>
    <w:p w:rsidR="00094C20" w:rsidRPr="004D08A9" w:rsidRDefault="00094C20" w:rsidP="00526A32">
      <w:pPr>
        <w:pStyle w:val="Heading2"/>
        <w:keepNext/>
        <w:keepLines/>
        <w:rPr>
          <w:b/>
        </w:rPr>
      </w:pPr>
      <w:r w:rsidRPr="004D08A9">
        <w:rPr>
          <w:b/>
        </w:rPr>
        <w:t>Scénarios et enjeux pour l’avenir</w:t>
      </w:r>
    </w:p>
    <w:p w:rsidR="00983C93" w:rsidRPr="004D08A9" w:rsidRDefault="00983C93" w:rsidP="00526A32">
      <w:pPr>
        <w:pStyle w:val="ListParagraph"/>
        <w:keepNext/>
        <w:keepLines/>
        <w:spacing w:line="288" w:lineRule="auto"/>
        <w:ind w:left="709" w:hanging="709"/>
        <w:jc w:val="both"/>
        <w:rPr>
          <w:rFonts w:ascii="Times New Roman" w:hAnsi="Times New Roman"/>
          <w:bCs/>
          <w:sz w:val="22"/>
        </w:rPr>
      </w:pPr>
    </w:p>
    <w:p w:rsidR="00094C20" w:rsidRPr="004D08A9" w:rsidRDefault="009157F5" w:rsidP="00B2380D">
      <w:pPr>
        <w:pStyle w:val="Heading3"/>
      </w:pPr>
      <w:r w:rsidRPr="004D08A9">
        <w:t xml:space="preserve">Selon le scénario le plus probable pour l’avenir, nous devrions atteindre le creux du cycle économique au cours du second trimestre de l’année 2020, avant d’observer des signes de relance progressive au cours du second semestre. En l’absence de seconde vague de la pandémie et si les stratégies de sortie de crise et de relance sont appropriées et portent leurs fruits, la reprise devrait se poursuivre au cours de l’année 2021 pour atteindre les niveaux d’avant la crise de la COVID-19 au cours de 2022 pour la production économique, et en 2023 pour les activités d’investissement. Ce scénario pourrait être </w:t>
      </w:r>
      <w:r w:rsidRPr="004D08A9">
        <w:lastRenderedPageBreak/>
        <w:t>considéré comme réaliste, quoique légèrement optimiste. Cependant, l’incertitude demeurant très élevée, l’Union devrait également se préparer à des évolutions moins positives, notamment à la réintroduction de mesures restrictives, à de nouvelles mesures d’urgence, à un engagement accru en vue d’atténuer les répercussions de la crise et à une indemnisation plus ciblée des entreprises et des particuliers dans le besoin.</w:t>
      </w:r>
    </w:p>
    <w:p w:rsidR="00983C93" w:rsidRPr="004D08A9" w:rsidRDefault="00983C93">
      <w:pPr>
        <w:pStyle w:val="ListParagraph"/>
        <w:spacing w:line="288" w:lineRule="auto"/>
        <w:ind w:left="709" w:hanging="709"/>
        <w:jc w:val="both"/>
        <w:rPr>
          <w:rFonts w:ascii="Times New Roman" w:hAnsi="Times New Roman"/>
          <w:bCs/>
          <w:sz w:val="22"/>
        </w:rPr>
      </w:pPr>
    </w:p>
    <w:p w:rsidR="00983C93" w:rsidRPr="004D08A9" w:rsidRDefault="00983C93" w:rsidP="00B2380D">
      <w:pPr>
        <w:pStyle w:val="Heading3"/>
      </w:pPr>
      <w:r w:rsidRPr="004D08A9">
        <w:t xml:space="preserve">La situation actuelle n’est pas seulement une phase de développement économique cyclique, mais constitue aussi un moment important et déterminant sur le plan des changements structurels et des réformes de l’organisation et des systèmes économiques et sociaux européens. L’objectif dans la période actuelle est non seulement de relancer l’économie dans la pratique (ramener le cycle aux niveaux antérieurs à la crise de la COVID-19), mais peut-être surtout de concevoir et de mettre en œuvre d’importants changements quantitatifs et qualitatifs. Il s’agirait de procéder à une évaluation générale de notre modèle </w:t>
      </w:r>
      <w:proofErr w:type="spellStart"/>
      <w:r w:rsidRPr="004D08A9">
        <w:t>socio-économi</w:t>
      </w:r>
      <w:r w:rsidR="00E61C24" w:rsidRPr="004D08A9">
        <w:t>co-</w:t>
      </w:r>
      <w:r w:rsidRPr="004D08A9">
        <w:t>environnemental</w:t>
      </w:r>
      <w:proofErr w:type="spellEnd"/>
      <w:r w:rsidRPr="004D08A9">
        <w:t xml:space="preserve"> et d’en peser les avantages et les inconvénients. La reconstruction radicale ne doit pas seulement se refléter dans des politiques nouvelles ou adaptées, mais aussi dans de nouvelles compétences associant l’ensemble des acteurs concernés (dans le cadre des relations entre les États membres et les institutions européennes et, en interne, entre les institutions de l’UE) dans le respect du principe de subsidiarité. Il est également temps de faire le point sur les raisons pour lesquelles nos structures économiques et sociales actuelles laissent autant de personnes exposées aux répercussions de tels chocs. La pandémie actuelle a mis en évidence les vulnérabilités particulières des personnes qui, de par leur situation d’emploi précaire, sont privées d’une protection sociale et ne peuvent bénéficier du chômage temporaire dans les périodes difficiles, ainsi que de celles qui ont été isolées de leurs communautés et des réseaux de soutien qui existent au sein de celles-ci.</w:t>
      </w:r>
    </w:p>
    <w:p w:rsidR="00983C93" w:rsidRPr="004D08A9" w:rsidRDefault="00983C93">
      <w:pPr>
        <w:pStyle w:val="ListParagraph"/>
        <w:spacing w:line="288" w:lineRule="auto"/>
        <w:ind w:left="709" w:hanging="709"/>
        <w:jc w:val="both"/>
        <w:rPr>
          <w:rFonts w:ascii="Times New Roman" w:hAnsi="Times New Roman"/>
          <w:bCs/>
          <w:sz w:val="22"/>
        </w:rPr>
      </w:pPr>
    </w:p>
    <w:p w:rsidR="00983C93" w:rsidRPr="004D08A9" w:rsidRDefault="00983C93" w:rsidP="00526A32">
      <w:pPr>
        <w:pStyle w:val="Heading3"/>
        <w:keepNext/>
        <w:keepLines/>
      </w:pPr>
      <w:r w:rsidRPr="004D08A9">
        <w:t>Les principaux objectifs du processus de relance et de reconstruction sont notamment les suivants:</w:t>
      </w:r>
    </w:p>
    <w:p w:rsidR="00216655" w:rsidRPr="004D08A9" w:rsidRDefault="00216655" w:rsidP="00526A32">
      <w:pPr>
        <w:pStyle w:val="ListParagraph"/>
        <w:keepNext/>
        <w:keepLines/>
        <w:spacing w:line="288" w:lineRule="auto"/>
        <w:ind w:left="709" w:hanging="709"/>
        <w:jc w:val="both"/>
        <w:rPr>
          <w:rFonts w:ascii="Times New Roman" w:hAnsi="Times New Roman"/>
          <w:bCs/>
          <w:sz w:val="22"/>
        </w:rPr>
      </w:pPr>
    </w:p>
    <w:p w:rsidR="000D068E" w:rsidRPr="004D08A9" w:rsidRDefault="009168F6"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libérer tout le potentiel du marché unique en vue de s’assurer qu’il demeure intégré, fonctionnel et efficace, et de rétablir la compétitivité;</w:t>
      </w:r>
    </w:p>
    <w:p w:rsidR="009168F6" w:rsidRPr="004D08A9" w:rsidRDefault="001C619C"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compléter le marché unique par un programme social ambitieux, qui se traduirait en particulier par la mise en œuvre intégrale du socle européen des droits sociaux afin de garantir une convergence sociale ascendante;</w:t>
      </w:r>
    </w:p>
    <w:p w:rsidR="00983C93" w:rsidRPr="004D08A9" w:rsidRDefault="00983C93"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poursuivre les changements structurels et les activités d’investissement connexes nécessaires, principalement dans les domaines du numérique, des innovations intelligentes et sociales, et de la transition écologique;</w:t>
      </w:r>
    </w:p>
    <w:p w:rsidR="00983C93" w:rsidRPr="004D08A9" w:rsidRDefault="00983C93"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améliorer constamment la compétitivité de l’UE;</w:t>
      </w:r>
    </w:p>
    <w:p w:rsidR="00983C93" w:rsidRPr="004D08A9" w:rsidRDefault="00983C93"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créer les conditions d’un renforcement de l’autosuffisance et de la résilience de l’Union pour faire face aux répercussions mondiales;</w:t>
      </w:r>
    </w:p>
    <w:p w:rsidR="009168F6" w:rsidRPr="004D08A9" w:rsidRDefault="00983C93"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créer les conditions permettant de conserver le contrôle des actifs et des industries stratégiques de l’UE;</w:t>
      </w:r>
    </w:p>
    <w:p w:rsidR="009168F6" w:rsidRPr="004D08A9" w:rsidRDefault="009168F6"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soutenir l’accès au marché du travail pour tous afin de constituer une main-d’œuvre inclusive et résiliente;</w:t>
      </w:r>
    </w:p>
    <w:p w:rsidR="009168F6" w:rsidRPr="004D08A9" w:rsidRDefault="009168F6"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investir dans l’inclusion de certaines communautés marginalisées afin de s’assurer que tout un chacun puisse pleinement participer à la vie économique et sociale;</w:t>
      </w:r>
    </w:p>
    <w:p w:rsidR="00983C93" w:rsidRPr="004D08A9" w:rsidRDefault="00983C93" w:rsidP="00B2380D">
      <w:pPr>
        <w:pStyle w:val="ListParagraph"/>
        <w:numPr>
          <w:ilvl w:val="0"/>
          <w:numId w:val="29"/>
        </w:numPr>
        <w:spacing w:line="288" w:lineRule="auto"/>
        <w:ind w:left="1134" w:hanging="567"/>
        <w:jc w:val="both"/>
        <w:rPr>
          <w:rFonts w:ascii="Times New Roman" w:hAnsi="Times New Roman"/>
          <w:bCs/>
          <w:sz w:val="22"/>
        </w:rPr>
      </w:pPr>
      <w:r w:rsidRPr="004D08A9">
        <w:rPr>
          <w:rFonts w:ascii="Times New Roman" w:hAnsi="Times New Roman"/>
          <w:bCs/>
          <w:sz w:val="22"/>
        </w:rPr>
        <w:t>améliorer sensiblement les chaînes de distribution de l’UE en cas de risques et de situations d’urgence.</w:t>
      </w:r>
    </w:p>
    <w:p w:rsidR="004F1AD8" w:rsidRPr="004D08A9" w:rsidRDefault="004F1AD8" w:rsidP="00B2380D">
      <w:pPr>
        <w:spacing w:line="288" w:lineRule="auto"/>
        <w:jc w:val="both"/>
        <w:rPr>
          <w:sz w:val="22"/>
          <w:szCs w:val="22"/>
        </w:rPr>
      </w:pPr>
    </w:p>
    <w:p w:rsidR="004C40CE" w:rsidRPr="004D08A9" w:rsidRDefault="004C40CE" w:rsidP="00B2380D">
      <w:pPr>
        <w:pStyle w:val="Heading1"/>
        <w:keepNext/>
        <w:keepLines/>
        <w:rPr>
          <w:b/>
        </w:rPr>
      </w:pPr>
      <w:r w:rsidRPr="004D08A9">
        <w:rPr>
          <w:b/>
        </w:rPr>
        <w:lastRenderedPageBreak/>
        <w:t>L’</w:t>
      </w:r>
      <w:proofErr w:type="spellStart"/>
      <w:r w:rsidRPr="004D08A9">
        <w:rPr>
          <w:b/>
        </w:rPr>
        <w:t>après-crise</w:t>
      </w:r>
      <w:proofErr w:type="spellEnd"/>
      <w:r w:rsidRPr="004D08A9">
        <w:rPr>
          <w:b/>
        </w:rPr>
        <w:t xml:space="preserve"> de la COVID-19: une occasion et une nécessité de changer l’Union européenne</w:t>
      </w:r>
    </w:p>
    <w:p w:rsidR="00366789" w:rsidRPr="004D08A9" w:rsidRDefault="00366789" w:rsidP="00107DE3">
      <w:pPr>
        <w:keepNext/>
        <w:keepLines/>
        <w:spacing w:line="288" w:lineRule="auto"/>
        <w:ind w:left="709" w:hanging="709"/>
        <w:rPr>
          <w:b/>
          <w:sz w:val="22"/>
          <w:szCs w:val="22"/>
        </w:rPr>
      </w:pPr>
    </w:p>
    <w:p w:rsidR="00366789" w:rsidRPr="004D08A9" w:rsidRDefault="00366789" w:rsidP="00B2380D">
      <w:pPr>
        <w:pStyle w:val="Heading2"/>
        <w:keepNext/>
        <w:keepLines/>
        <w:rPr>
          <w:b/>
        </w:rPr>
      </w:pPr>
      <w:r w:rsidRPr="004D08A9">
        <w:rPr>
          <w:b/>
        </w:rPr>
        <w:t xml:space="preserve">Le «cygne noir» </w:t>
      </w:r>
    </w:p>
    <w:p w:rsidR="00366789" w:rsidRPr="004D08A9" w:rsidRDefault="00366789" w:rsidP="00107DE3">
      <w:pPr>
        <w:keepNext/>
        <w:keepLines/>
        <w:spacing w:line="288" w:lineRule="auto"/>
        <w:ind w:left="709" w:hanging="709"/>
        <w:rPr>
          <w:b/>
          <w:sz w:val="22"/>
          <w:szCs w:val="22"/>
        </w:rPr>
      </w:pPr>
    </w:p>
    <w:p w:rsidR="00064A3F" w:rsidRPr="004D08A9" w:rsidRDefault="00064A3F" w:rsidP="00B2380D">
      <w:pPr>
        <w:pStyle w:val="Heading3"/>
        <w:keepNext/>
        <w:keepLines/>
      </w:pPr>
      <w:r w:rsidRPr="004D08A9">
        <w:t xml:space="preserve">De nombreux observateurs associent la crise de la COVID-19 à la définition du «cygne noir», élaborée par le mathématicien libanais Nassim Nicholas Taleb: </w:t>
      </w:r>
      <w:r w:rsidRPr="004D08A9">
        <w:rPr>
          <w:i/>
        </w:rPr>
        <w:t>«Un événement rare et imprévisible, parce qu’il ne correspond pas aux attentes humaines normales mais provoque des changements tellement considérables qu’il est capable de bouleverser des vies, de changer les perceptions et de transformer à jamais les populations touchées par le phénomène»</w:t>
      </w:r>
      <w:r w:rsidRPr="004D08A9">
        <w:rPr>
          <w:rStyle w:val="FootnoteReference"/>
        </w:rPr>
        <w:footnoteReference w:id="8"/>
      </w:r>
      <w:r w:rsidRPr="004D08A9">
        <w:t>. Mais, dans le cadre de la situation d’urgence provoquée par la COVID-19, sommes-nous vraiment en présence d’un cygne noir? S’agit-il vraiment d’un événement imprévu?</w:t>
      </w:r>
      <w:r w:rsidR="00E61C24" w:rsidRPr="004D08A9">
        <w:t xml:space="preserve"> </w:t>
      </w:r>
      <w:r w:rsidRPr="004D08A9">
        <w:t xml:space="preserve">Ou bien avons-nous mis à mal nos systèmes de santé, nos productions stratégiques et nos structures sociales en opérant une série de choix erronés? Maintenir le statu quo ne peut plus faire partie des solutions politiques pour faire face aux conséquences de la crise. L’Europe a la possibilité et l’occasion de construire un autre monde, et l’Union européenne doit jouer un rôle majeur dans cette entreprise. </w:t>
      </w:r>
    </w:p>
    <w:p w:rsidR="00064A3F" w:rsidRPr="004D08A9" w:rsidRDefault="00064A3F">
      <w:pPr>
        <w:spacing w:line="288" w:lineRule="auto"/>
        <w:ind w:left="709" w:hanging="709"/>
        <w:rPr>
          <w:b/>
          <w:sz w:val="22"/>
          <w:szCs w:val="22"/>
        </w:rPr>
      </w:pPr>
    </w:p>
    <w:p w:rsidR="00064A3F" w:rsidRPr="004D08A9" w:rsidRDefault="00130791" w:rsidP="00B2380D">
      <w:pPr>
        <w:pStyle w:val="Heading3"/>
      </w:pPr>
      <w:r w:rsidRPr="004D08A9">
        <w:t>Il est donc nécessaire d’adopter une combinaison différente de réponses politiques ainsi qu’un nouveau calendrier pour celles-ci afin de se remettre de cette crise. Bien la gérer, ce serait pour nous la surmonter ensemble, sauver des vies et améliorer le bien-être de la société, faire évoluer nos modèles socio-économiques vers des modèles encore plus centrés sur les personnes et le monde naturel, et stimuler le partenariat mondial en faveur du développement durable.</w:t>
      </w:r>
    </w:p>
    <w:p w:rsidR="006135DB" w:rsidRPr="004D08A9" w:rsidRDefault="006135DB">
      <w:pPr>
        <w:spacing w:line="288" w:lineRule="auto"/>
        <w:ind w:left="709" w:hanging="709"/>
        <w:jc w:val="both"/>
        <w:rPr>
          <w:bCs/>
          <w:sz w:val="22"/>
          <w:szCs w:val="22"/>
        </w:rPr>
      </w:pPr>
    </w:p>
    <w:p w:rsidR="006135DB" w:rsidRPr="004D08A9" w:rsidRDefault="00130791" w:rsidP="00B2380D">
      <w:pPr>
        <w:pStyle w:val="Heading3"/>
      </w:pPr>
      <w:r w:rsidRPr="004D08A9">
        <w:t>À cette fin, il importe aujourd’hui de nous concentrer sur l’essentiel pour chacun: soutenir les entreprises pour qu’elles puissent surmonter la crise afin d’être en mesure d’offrir des emplois décents, assurer de bonnes conditions de vie et de travail, l’égalité de l’accès aux soins de santé, des denrées alimentaires, une eau, un air sains et des biens de consommation sûrs, un monde naturel florissant et un climat sûr pour les générations à venir, et mettre tout en œuvre pour que la société soit de plus en plus inclusive et accessible à tous, et que nos démocraties soient solides, effectives et capables de continuer à nous protéger dans les périodes difficiles. Pour y parvenir, nous devons faire preuve d’ambition et prendre les bonnes décisions le moment venu, en adoptant un «Plan de reconstruction et de relance de l’UE».</w:t>
      </w:r>
    </w:p>
    <w:p w:rsidR="006135DB" w:rsidRPr="004D08A9" w:rsidRDefault="006135DB">
      <w:pPr>
        <w:spacing w:line="288" w:lineRule="auto"/>
        <w:ind w:left="709" w:hanging="709"/>
        <w:jc w:val="both"/>
        <w:rPr>
          <w:bCs/>
          <w:sz w:val="22"/>
          <w:szCs w:val="22"/>
        </w:rPr>
      </w:pPr>
    </w:p>
    <w:p w:rsidR="00130791" w:rsidRPr="004D08A9" w:rsidRDefault="00130791" w:rsidP="00B2380D">
      <w:pPr>
        <w:pStyle w:val="Heading3"/>
      </w:pPr>
      <w:r w:rsidRPr="004D08A9">
        <w:t>La Commission européenne doit prendre des mesures concrètes pour empêcher les gouvernements de déclarer un «état d’alerte» qui érode les droits de l’homme et l’état de droit. Les gouvernements devraient éviter d’abuser de la crise du coronavirus en adoptant des mesures allant au-delà de ce qui est absolument nécessaire pour faire face à l’urgence, par exemple des mesures qui portent atteinte à la vie privée, au respect de la légalité, aux compétences et au rôle du pouvoir judiciaire, ou encore aux droits des citoyens et de la société civile. Toute mesure prise doit être proportionnée et viser à garantir la sécurité publique. En particulier, la liberté d’expression doit être préservée pour ceux qui mettent en lumière les défis posés par la situation actuelle.</w:t>
      </w:r>
    </w:p>
    <w:p w:rsidR="00130791" w:rsidRPr="004D08A9" w:rsidRDefault="00130791">
      <w:pPr>
        <w:spacing w:line="288" w:lineRule="auto"/>
        <w:ind w:left="709" w:hanging="709"/>
        <w:jc w:val="both"/>
        <w:rPr>
          <w:bCs/>
          <w:iCs/>
          <w:sz w:val="22"/>
          <w:szCs w:val="22"/>
        </w:rPr>
      </w:pPr>
    </w:p>
    <w:p w:rsidR="00130791" w:rsidRPr="004D08A9" w:rsidRDefault="00130791" w:rsidP="004D08A9">
      <w:pPr>
        <w:pStyle w:val="Heading2"/>
        <w:keepNext/>
        <w:keepLines/>
        <w:rPr>
          <w:b/>
          <w:bCs/>
        </w:rPr>
      </w:pPr>
      <w:r w:rsidRPr="004D08A9">
        <w:rPr>
          <w:b/>
        </w:rPr>
        <w:lastRenderedPageBreak/>
        <w:t>Les lignes directrices régissant un plan de relance et de reconstruction de l’UE</w:t>
      </w:r>
    </w:p>
    <w:p w:rsidR="00130791" w:rsidRPr="004D08A9" w:rsidRDefault="00130791" w:rsidP="004D08A9">
      <w:pPr>
        <w:keepNext/>
        <w:keepLines/>
        <w:spacing w:line="288" w:lineRule="auto"/>
        <w:ind w:left="709" w:hanging="709"/>
        <w:jc w:val="both"/>
        <w:rPr>
          <w:bCs/>
          <w:iCs/>
          <w:sz w:val="22"/>
          <w:szCs w:val="22"/>
        </w:rPr>
      </w:pPr>
    </w:p>
    <w:p w:rsidR="006135DB" w:rsidRPr="004D08A9" w:rsidRDefault="00130791" w:rsidP="004D08A9">
      <w:pPr>
        <w:pStyle w:val="Heading3"/>
        <w:keepNext/>
        <w:keepLines/>
      </w:pPr>
      <w:r w:rsidRPr="004D08A9">
        <w:t xml:space="preserve">Le CESE a la conviction que la relance, qui devra remédier aux conséquences de la crise de la COVID-19, ne pourra être couronnée de succès que si elle s’accompagne d’une restructuration de la société dans laquelle nous vivons: nous devons nous attacher autant à la reconstruction qu’à la relance. Nous ne </w:t>
      </w:r>
      <w:proofErr w:type="spellStart"/>
      <w:r w:rsidRPr="004D08A9">
        <w:t>pouvons nous</w:t>
      </w:r>
      <w:proofErr w:type="spellEnd"/>
      <w:r w:rsidRPr="004D08A9">
        <w:t xml:space="preserve"> contenter de rétablir la situation antérieure; nous devons la restructurer et l’améliorer. Le CESE estime que ces deux opérations devront reposer sur les principes qui guident tous ses travaux: un marché intérieur pleinement opérationnel, la protection des droits de l’homme, des valeurs démocratiques et de l’état de droit, la réalisation des objectifs de développement durable, la création d’une économie circulaire et la réalisation de la neutralité climatique au sein de l’UE d’ici à 2050 au plus tard. Nous devons également garantir à la fois la bonne gouvernance et la responsabilité démocratique.</w:t>
      </w:r>
    </w:p>
    <w:p w:rsidR="00252FD0" w:rsidRPr="004D08A9" w:rsidRDefault="00252FD0">
      <w:pPr>
        <w:spacing w:line="288" w:lineRule="auto"/>
        <w:ind w:left="709" w:hanging="709"/>
        <w:jc w:val="both"/>
        <w:rPr>
          <w:bCs/>
          <w:iCs/>
          <w:sz w:val="22"/>
          <w:szCs w:val="22"/>
        </w:rPr>
      </w:pPr>
    </w:p>
    <w:p w:rsidR="00F466AB" w:rsidRPr="004D08A9" w:rsidRDefault="00F466AB" w:rsidP="00B2380D">
      <w:pPr>
        <w:pStyle w:val="Heading3"/>
      </w:pPr>
      <w:r w:rsidRPr="004D08A9">
        <w:t>Toutefois, quelles que soient la qualité et l’étendue des mesures adoptées, elles ne seront efficaces et acceptées que si elles sont effectives sur le terrain et touchent les personnes qui sont censées en bénéficier. Il est donc essentiel de redoubler d’efforts pour garantir leur mise en œuvre efficace, tant par les institutions de l’UE que par les États membres.</w:t>
      </w:r>
    </w:p>
    <w:p w:rsidR="00F466AB" w:rsidRPr="004D08A9" w:rsidRDefault="00F466AB">
      <w:pPr>
        <w:spacing w:line="288" w:lineRule="auto"/>
        <w:ind w:left="709" w:hanging="709"/>
        <w:jc w:val="both"/>
        <w:rPr>
          <w:bCs/>
          <w:iCs/>
          <w:sz w:val="22"/>
          <w:szCs w:val="22"/>
        </w:rPr>
      </w:pPr>
    </w:p>
    <w:p w:rsidR="00F466C8" w:rsidRPr="004D08A9" w:rsidRDefault="00F466C8" w:rsidP="00B2380D">
      <w:pPr>
        <w:pStyle w:val="Heading3"/>
      </w:pPr>
      <w:r w:rsidRPr="004D08A9">
        <w:t>Fondamentalement, nous devons tirer les leçons d’un échec social qui a posé les prémisses du nombre disproportionné de décès durant cette pandémie. Nous faisons ici référence aux institutions d’hébergement pour les personnes handicapées et les personnes âgées. Ces endroits sont devenus des foyers d’infection et de mortalité pendant la crise. Cela doit servir d’avertissement pour qu’aucun financement de l’UE ne puisse désormais bénéficier à des environnements qui, non seulement, privent des personnes de leur liberté de choix quant à la manière dont ils vivent leur vie, mais qui sont également structurellement inadaptés pour les protéger dans des situations de force majeure.</w:t>
      </w:r>
    </w:p>
    <w:p w:rsidR="006135DB" w:rsidRPr="004D08A9" w:rsidRDefault="006135DB">
      <w:pPr>
        <w:spacing w:line="288" w:lineRule="auto"/>
        <w:ind w:left="709" w:hanging="709"/>
        <w:jc w:val="both"/>
        <w:rPr>
          <w:bCs/>
          <w:iCs/>
          <w:sz w:val="22"/>
          <w:szCs w:val="22"/>
        </w:rPr>
      </w:pPr>
    </w:p>
    <w:p w:rsidR="006135DB" w:rsidRPr="004D08A9" w:rsidRDefault="00130791" w:rsidP="00B2380D">
      <w:pPr>
        <w:pStyle w:val="Heading3"/>
      </w:pPr>
      <w:r w:rsidRPr="004D08A9">
        <w:t>Malheureusement, la crise du coronavirus a aussi clairement montré qu’il est essentiel d’approfondir le travail pédagogique intense mené dans toute l’UE en faveur d’une culture citoyenne des droits de l’homme et de la c</w:t>
      </w:r>
      <w:r w:rsidR="00E61C24" w:rsidRPr="004D08A9">
        <w:t>oe</w:t>
      </w:r>
      <w:r w:rsidRPr="004D08A9">
        <w:t>xistence démocratique, sur la base des principes et des valeurs de l’article 2 du TFUE. Nous réaffirmons notre attachement profond et constant aux valeurs fondamentales des droits de l’homme, de la démocratie et l’état de droit, telles qu’énoncées dans les traités fondateurs de l’UE.</w:t>
      </w:r>
    </w:p>
    <w:p w:rsidR="006135DB" w:rsidRPr="004D08A9" w:rsidRDefault="006135DB">
      <w:pPr>
        <w:spacing w:line="288" w:lineRule="auto"/>
        <w:ind w:left="709" w:hanging="709"/>
        <w:jc w:val="both"/>
        <w:rPr>
          <w:bCs/>
          <w:iCs/>
          <w:sz w:val="22"/>
          <w:szCs w:val="22"/>
        </w:rPr>
      </w:pPr>
    </w:p>
    <w:p w:rsidR="006135DB" w:rsidRPr="004D08A9" w:rsidRDefault="00130791" w:rsidP="00B2380D">
      <w:pPr>
        <w:pStyle w:val="Heading3"/>
      </w:pPr>
      <w:r w:rsidRPr="004D08A9">
        <w:t>La solidarité est le mot clé de la lutte contre la crise. La solidarité avec les prestataires de soins dans les hôpitaux et les maisons de soins. La solidarité avec les travailleurs qui ne perçoivent pas de salaire et les employeurs qui renoncent à leurs salaires et à leurs primes pour sauver leurs entreprises. La solidarité des gouvernements avec les secteurs économiques mais aussi culturels, ainsi qu’avec d’autres secteurs de la société qui ne peuvent se passer d’une aide. Et surtout, la solidarité entre les pays, en particulier au sein de l’Union, parce que les États membres de l’UE sont si étroitement liés sur le plan économique que seule une approche commune et solidaire des effets de la crise sera efficace.</w:t>
      </w:r>
    </w:p>
    <w:p w:rsidR="006135DB" w:rsidRPr="004D08A9" w:rsidRDefault="006135DB">
      <w:pPr>
        <w:spacing w:line="288" w:lineRule="auto"/>
        <w:ind w:left="709" w:hanging="709"/>
        <w:jc w:val="both"/>
        <w:rPr>
          <w:bCs/>
          <w:iCs/>
          <w:sz w:val="22"/>
          <w:szCs w:val="22"/>
        </w:rPr>
      </w:pPr>
    </w:p>
    <w:p w:rsidR="006135DB" w:rsidRPr="004D08A9" w:rsidRDefault="00130791" w:rsidP="00B2380D">
      <w:pPr>
        <w:pStyle w:val="Heading3"/>
      </w:pPr>
      <w:r w:rsidRPr="004D08A9">
        <w:t>Un plan d’investissements écologiques à très grande échelle donnera à l’économie l’impulsion nécessaire et renforcera la résilience face aux chocs futurs. La réalisation d’un tel programme ambitieux et porteur de transformation ne pourra se faire que dans certaines conditions spécifiques, qui doivent être explicitement reconnues. Par conséquent, les ambitions économiques et environnementales du plan de relance européen pour l’</w:t>
      </w:r>
      <w:proofErr w:type="spellStart"/>
      <w:r w:rsidRPr="004D08A9">
        <w:t>après-crise</w:t>
      </w:r>
      <w:proofErr w:type="spellEnd"/>
      <w:r w:rsidRPr="004D08A9">
        <w:t xml:space="preserve"> du coronavirus devraient aller de pair pour créer une situation bénéfique pour tous. Cela passe par une sélection rigoureuse des programmes d’investissement, ciblant </w:t>
      </w:r>
      <w:r w:rsidRPr="004D08A9">
        <w:lastRenderedPageBreak/>
        <w:t>les secteurs à fort potentiel de relance économique, de création d’emplois et de transformation environnementale (les incitations «vertes»).</w:t>
      </w:r>
    </w:p>
    <w:p w:rsidR="006135DB" w:rsidRPr="004D08A9" w:rsidRDefault="006135DB">
      <w:pPr>
        <w:spacing w:line="288" w:lineRule="auto"/>
        <w:ind w:left="709" w:hanging="709"/>
        <w:jc w:val="both"/>
        <w:rPr>
          <w:bCs/>
          <w:iCs/>
          <w:sz w:val="22"/>
          <w:szCs w:val="22"/>
        </w:rPr>
      </w:pPr>
    </w:p>
    <w:p w:rsidR="00064A3F" w:rsidRPr="004D08A9" w:rsidRDefault="00130791" w:rsidP="00B2380D">
      <w:pPr>
        <w:pStyle w:val="Heading3"/>
      </w:pPr>
      <w:r w:rsidRPr="004D08A9">
        <w:t xml:space="preserve">À cette fin, il y a lieu de concevoir des mesures d’incitations «vertes» de manière à atteindre deux objectifs généraux. Premièrement, stimuler l’économie et créer des emplois tout en garantissant ceux qui sont menacés, et deuxièmement, soutenir la transformation de l’économie européenne pour évoluer vers un avenir propre et résilient. Ou, comme l’a twitté le vice-président Frans Timmermans: </w:t>
      </w:r>
      <w:r w:rsidR="001A68C0">
        <w:rPr>
          <w:i/>
        </w:rPr>
        <w:t>«La </w:t>
      </w:r>
      <w:r w:rsidRPr="004D08A9">
        <w:rPr>
          <w:i/>
        </w:rPr>
        <w:t>relance que nous proposons nous permettra d’évoluer vers la société dont cette génération et les suivantes ont besoin: une société propre, prospère et résiliente, dans laquelle personne n’est laissé pour compte.»</w:t>
      </w:r>
    </w:p>
    <w:p w:rsidR="006135DB" w:rsidRPr="004D08A9" w:rsidRDefault="006135DB">
      <w:pPr>
        <w:spacing w:line="288" w:lineRule="auto"/>
        <w:ind w:left="709" w:hanging="709"/>
        <w:jc w:val="both"/>
        <w:rPr>
          <w:bCs/>
          <w:iCs/>
          <w:sz w:val="22"/>
          <w:szCs w:val="22"/>
        </w:rPr>
      </w:pPr>
    </w:p>
    <w:p w:rsidR="006135DB" w:rsidRPr="004D08A9" w:rsidRDefault="00130791" w:rsidP="00B2380D">
      <w:pPr>
        <w:pStyle w:val="Heading3"/>
      </w:pPr>
      <w:r w:rsidRPr="004D08A9">
        <w:t xml:space="preserve">Imposer une exigence de réciprocité. Lorsque des ressources publiques sont utilisées pour permettre au secteur privé d’envisager l’avenir, la société peut légitimement en attendre la création d’une valeur au bénéfice de la collectivité. Pensons à des accords concernant le paiement des impôts, une démarche sociale adéquate de la part des employeurs, la retenue des dividendes et des primes, ainsi qu’à une obligation de s’efforcer de réduire les émissions de </w:t>
      </w:r>
      <w:r w:rsidR="00E61C24" w:rsidRPr="004D08A9">
        <w:t>CO</w:t>
      </w:r>
      <w:r w:rsidR="00E61C24" w:rsidRPr="004D08A9">
        <w:rPr>
          <w:vertAlign w:val="subscript"/>
        </w:rPr>
        <w:t>2</w:t>
      </w:r>
      <w:r w:rsidRPr="004D08A9">
        <w:t>, de se conformer à la législation environnementale et de rendre plus durables les politiques des entreprises en matière de mobilité.</w:t>
      </w:r>
    </w:p>
    <w:p w:rsidR="006135DB" w:rsidRPr="004D08A9" w:rsidRDefault="006135DB">
      <w:pPr>
        <w:spacing w:line="288" w:lineRule="auto"/>
        <w:ind w:left="709" w:hanging="709"/>
        <w:jc w:val="both"/>
        <w:rPr>
          <w:bCs/>
          <w:iCs/>
          <w:sz w:val="22"/>
          <w:szCs w:val="22"/>
        </w:rPr>
      </w:pPr>
    </w:p>
    <w:p w:rsidR="006135DB" w:rsidRPr="004D08A9" w:rsidRDefault="00130791" w:rsidP="00B2380D">
      <w:pPr>
        <w:pStyle w:val="Heading3"/>
      </w:pPr>
      <w:r w:rsidRPr="004D08A9">
        <w:t>Le modèle économique actuel trouve sa mesure de référence (son totem) dans le PIB, un indicateur qui n’a jamais été en mesure de calculer ce qui compte réellement pour les êtres humains. Repenser aujourd’hui cette approche conformément à un nouveau modèle de développement économique et social pour l’UE signifie, de l’avis du CESE, intégrer cet indicateur économique majeur avec un autre indicateur d’égale importance: celui du bien-être de la collectivité.</w:t>
      </w:r>
    </w:p>
    <w:p w:rsidR="006135DB" w:rsidRPr="004D08A9" w:rsidRDefault="006135DB">
      <w:pPr>
        <w:spacing w:line="288" w:lineRule="auto"/>
        <w:ind w:left="709" w:hanging="709"/>
        <w:jc w:val="both"/>
        <w:rPr>
          <w:bCs/>
          <w:iCs/>
          <w:sz w:val="22"/>
          <w:szCs w:val="22"/>
        </w:rPr>
      </w:pPr>
    </w:p>
    <w:p w:rsidR="00064A3F" w:rsidRPr="004D08A9" w:rsidRDefault="00130791" w:rsidP="00B2380D">
      <w:pPr>
        <w:pStyle w:val="Heading3"/>
      </w:pPr>
      <w:r w:rsidRPr="004D08A9">
        <w:t>Le CESE estime qu’un plan de reconstruction et de relance doit donner une place centrale aux citoyens et à l’avenir de notre planète. Il est essentiel à cet égard que soit maintenu l’emploi net à un niveau aussi élevé que possible à court terme. Mais il est également crucial de garder à l’esprit un horizon plus lointain. Il doit s’agir d’une économie qui résiste à l’épreuve du temps, qui réponde aux besoins de la société, n’aggrave pas le changement climatique, utilise les ressources de manière intelligente et complète la capacité de subvenir à ses besoins en Europe avec un cadre de vie sain et des emplois de qualité. Nous devons nous engager dès à présent vers cet objectif, vers un avenir durable. Une économie à l’épreuve du temps sera également tributaire de sa capacité à être accessible, autant que possible, à tous les types de travailleurs et à permettre à chacun de contribuer à sa communauté locale et à la société dans son ensemble. Nous devons tirer les enseignements des nouvelles formules de flexibilité adoptées par les employeurs pendant la crise afin de répondre aux besoins des personnes les plus éloignées du marché du travail (personnes handicapées, chômeurs de longue durée, travailleurs âgés), de manière à faciliter leur participation à une nouvelle économie plus verte. Engageons-nous dès à présent vers cet objectif d’un avenir durable.</w:t>
      </w:r>
    </w:p>
    <w:p w:rsidR="004456E0" w:rsidRPr="004D08A9" w:rsidRDefault="004456E0">
      <w:pPr>
        <w:spacing w:line="288" w:lineRule="auto"/>
        <w:ind w:left="709" w:hanging="709"/>
        <w:jc w:val="both"/>
        <w:rPr>
          <w:bCs/>
          <w:iCs/>
          <w:sz w:val="22"/>
          <w:szCs w:val="22"/>
        </w:rPr>
      </w:pPr>
    </w:p>
    <w:p w:rsidR="00403308" w:rsidRPr="004D08A9" w:rsidRDefault="00130791" w:rsidP="00B2380D">
      <w:pPr>
        <w:pStyle w:val="Heading3"/>
      </w:pPr>
      <w:r w:rsidRPr="004D08A9">
        <w:t>L’UE et ses États membres devraient veiller à ce que les nouvelles entreprises de l’économie propre, notamment les jeunes pousses et les PME, aient accès au capital dont elles ont besoin pour continuer à développer les solutions de demain.</w:t>
      </w:r>
    </w:p>
    <w:p w:rsidR="00403308" w:rsidRPr="004D08A9" w:rsidRDefault="00403308">
      <w:pPr>
        <w:spacing w:line="288" w:lineRule="auto"/>
        <w:ind w:left="709" w:hanging="709"/>
        <w:jc w:val="both"/>
        <w:rPr>
          <w:bCs/>
          <w:iCs/>
          <w:sz w:val="22"/>
          <w:szCs w:val="22"/>
        </w:rPr>
      </w:pPr>
    </w:p>
    <w:p w:rsidR="00403308" w:rsidRPr="004D08A9" w:rsidRDefault="000E26F4" w:rsidP="00B2380D">
      <w:pPr>
        <w:pStyle w:val="Heading3"/>
      </w:pPr>
      <w:r w:rsidRPr="004D08A9">
        <w:t xml:space="preserve">Les partenaires sociaux doivent être associés à l’élaboration et au renforcement des mesures de soutien destinées à compenser l’absence d’activité économique dans de nombreux secteurs et aux efforts visant à protéger toutes les catégories de travailleurs et de petites entreprises. Des prestations de chômage adéquates et durables et d’autres formes d’aide sont nécessaires, notamment des normes européennes </w:t>
      </w:r>
      <w:r w:rsidRPr="004D08A9">
        <w:lastRenderedPageBreak/>
        <w:t>minimales concernant le taux de remplacement net, la durée des droits à l’allocation de chômage et la couverture. Dans les secteurs où cela est réalisable, des régimes de chômage partiel peuvent être introduits, en concertation avec les partenaires sociaux. Dans certains États membres, les travailleurs mis en quarantaine peuvent bénéficier d’une indemnité de maladie. Un autre moyen de faciliter la situation des entreprises, des travailleurs et des indépendants consisterait à simplifier l’accès au télétravail, en concertation avec les partenaires sociaux. En outre, les gouvernements pourraient fournir une assistance financière et un soutien technique aux PME afin de les aider à développer rapidement des capacités de télétravail.</w:t>
      </w:r>
    </w:p>
    <w:p w:rsidR="00403308" w:rsidRPr="004D08A9" w:rsidRDefault="00403308">
      <w:pPr>
        <w:spacing w:line="288" w:lineRule="auto"/>
        <w:ind w:left="709" w:hanging="709"/>
        <w:jc w:val="both"/>
        <w:rPr>
          <w:bCs/>
          <w:iCs/>
          <w:sz w:val="22"/>
          <w:szCs w:val="22"/>
        </w:rPr>
      </w:pPr>
    </w:p>
    <w:p w:rsidR="00252FD0" w:rsidRPr="004D08A9" w:rsidRDefault="00130791" w:rsidP="00B2380D">
      <w:pPr>
        <w:pStyle w:val="Heading3"/>
      </w:pPr>
      <w:r w:rsidRPr="004D08A9">
        <w:t>La participation de tous les citoyens, par l’intermédiaire des organisations des partenaires sociaux ou de la société civile, permettra de réformer l’économie et la société. Les États membres et l’UE doivent donc veiller à ce que, dans le cadre de ce processus complexe, personne ne soit laissé pour compte, notamment les travailleurs les plus précaires, les personnes proches de l’âge de la retraite, les personnes handicapées, les femmes occupant des emplois peu reconnus et les jeunes, notamment ceux issus de minorités visibles ou de l’immigration, et en particulier les personnes qui appartiennent à plus d’un de ces groupes.</w:t>
      </w:r>
    </w:p>
    <w:p w:rsidR="00B30574" w:rsidRPr="004D08A9" w:rsidRDefault="00B30574">
      <w:pPr>
        <w:spacing w:line="288" w:lineRule="auto"/>
        <w:ind w:left="709" w:hanging="709"/>
        <w:jc w:val="both"/>
        <w:rPr>
          <w:sz w:val="22"/>
          <w:szCs w:val="22"/>
        </w:rPr>
      </w:pPr>
    </w:p>
    <w:p w:rsidR="00B30574" w:rsidRPr="004D08A9" w:rsidRDefault="00B30574" w:rsidP="00526A32">
      <w:pPr>
        <w:pStyle w:val="Heading1"/>
        <w:keepNext/>
        <w:keepLines/>
        <w:rPr>
          <w:b/>
        </w:rPr>
      </w:pPr>
      <w:r w:rsidRPr="004D08A9">
        <w:rPr>
          <w:b/>
        </w:rPr>
        <w:t>Le plan de relance</w:t>
      </w:r>
    </w:p>
    <w:p w:rsidR="00403308" w:rsidRPr="004D08A9" w:rsidRDefault="00403308" w:rsidP="00526A32">
      <w:pPr>
        <w:keepNext/>
        <w:keepLines/>
        <w:spacing w:line="288" w:lineRule="auto"/>
        <w:ind w:left="709" w:hanging="709"/>
        <w:jc w:val="both"/>
        <w:rPr>
          <w:b/>
          <w:sz w:val="22"/>
          <w:szCs w:val="22"/>
        </w:rPr>
      </w:pPr>
    </w:p>
    <w:p w:rsidR="00B30574" w:rsidRPr="004D08A9" w:rsidRDefault="0091379B" w:rsidP="00B2380D">
      <w:pPr>
        <w:spacing w:line="288" w:lineRule="auto"/>
        <w:ind w:left="567" w:hanging="1"/>
        <w:jc w:val="both"/>
        <w:rPr>
          <w:sz w:val="22"/>
          <w:szCs w:val="22"/>
        </w:rPr>
      </w:pPr>
      <w:r w:rsidRPr="004D08A9">
        <w:rPr>
          <w:sz w:val="22"/>
          <w:szCs w:val="22"/>
        </w:rPr>
        <w:t xml:space="preserve">Le CESE plaide pour </w:t>
      </w:r>
      <w:r w:rsidRPr="004D08A9">
        <w:rPr>
          <w:b/>
          <w:sz w:val="22"/>
          <w:szCs w:val="22"/>
        </w:rPr>
        <w:t>une relance verte ainsi que pour une relance sociale et une relance économique vigoureuses</w:t>
      </w:r>
      <w:r w:rsidRPr="004D08A9">
        <w:rPr>
          <w:sz w:val="22"/>
          <w:szCs w:val="22"/>
        </w:rPr>
        <w:t xml:space="preserve">, et soutient qu’un plan aussi ambitieux et transformateur pourra être mené à bien s’il est fondé sur six principes: la solidarité, la compétitivité, la durabilité, la sauvegarde de l’emploi, le maintien des revenus et la participation. Plus les mesures de relance sont fortes et adaptées à la situation des États membres et de leurs populations, plus l’Europe sera crédible et capable de relever les défis sans précédent auxquels nous sommes confrontés dans le contexte de cette crise. </w:t>
      </w:r>
    </w:p>
    <w:p w:rsidR="0091379B" w:rsidRPr="004D08A9" w:rsidRDefault="0091379B">
      <w:pPr>
        <w:spacing w:line="288" w:lineRule="auto"/>
        <w:ind w:left="709" w:hanging="1"/>
        <w:jc w:val="both"/>
        <w:rPr>
          <w:sz w:val="22"/>
          <w:szCs w:val="22"/>
        </w:rPr>
      </w:pPr>
    </w:p>
    <w:p w:rsidR="00F80FD8" w:rsidRPr="004D08A9" w:rsidRDefault="00F80FD8" w:rsidP="00526A32">
      <w:pPr>
        <w:pStyle w:val="Heading2"/>
        <w:keepNext/>
        <w:keepLines/>
        <w:rPr>
          <w:b/>
        </w:rPr>
      </w:pPr>
      <w:r w:rsidRPr="004D08A9">
        <w:rPr>
          <w:b/>
        </w:rPr>
        <w:t>Le marché unique</w:t>
      </w:r>
    </w:p>
    <w:p w:rsidR="00C94EBD" w:rsidRPr="004D08A9" w:rsidRDefault="00C94EBD" w:rsidP="00526A32">
      <w:pPr>
        <w:keepNext/>
        <w:keepLines/>
        <w:spacing w:line="288" w:lineRule="auto"/>
        <w:ind w:left="709" w:hanging="709"/>
        <w:jc w:val="both"/>
        <w:rPr>
          <w:sz w:val="22"/>
          <w:szCs w:val="22"/>
        </w:rPr>
      </w:pPr>
    </w:p>
    <w:p w:rsidR="004E2633" w:rsidRPr="004D08A9" w:rsidRDefault="004E2633" w:rsidP="00B2380D">
      <w:pPr>
        <w:pStyle w:val="Heading3"/>
      </w:pPr>
      <w:r w:rsidRPr="004D08A9">
        <w:t>La stratégie pour le marché unique est au cœur du projet européen: elle permet aux personnes, aux services, aux biens et aux capitaux de circuler plus librement tout en ouvrant des perspectives aux entreprises, aux consommateurs et aux travailleurs européens. Des mesures doivent être prises afin de libérer tout son potentiel de suppression des obstacles. En outre, eu égard à la crise et à d’autres aspects d’un environnement en mutation, tels que la numérisation, le marché unique doit s’adapter pleinement aux nouvelles idées et aux nouveaux modèles économiques. L’objectif est donc de restaurer, de revitaliser et de reconstruire le marché unique en tant qu’instrument de relance. À court terme, il y a lieu d’ouvrir sans tarder les frontières. En outre, des mesures à court terme doivent être prises dans deux domaines:</w:t>
      </w:r>
    </w:p>
    <w:p w:rsidR="002D2BD6" w:rsidRPr="004D08A9" w:rsidRDefault="002D2BD6">
      <w:pPr>
        <w:spacing w:line="288" w:lineRule="auto"/>
        <w:ind w:left="709" w:hanging="709"/>
        <w:jc w:val="both"/>
        <w:rPr>
          <w:sz w:val="22"/>
          <w:szCs w:val="22"/>
        </w:rPr>
      </w:pPr>
    </w:p>
    <w:p w:rsidR="00064A3F" w:rsidRPr="004D08A9" w:rsidRDefault="00F0154A" w:rsidP="00B2380D">
      <w:pPr>
        <w:spacing w:line="288" w:lineRule="auto"/>
        <w:ind w:left="567" w:hanging="567"/>
        <w:jc w:val="both"/>
        <w:rPr>
          <w:sz w:val="22"/>
          <w:szCs w:val="22"/>
        </w:rPr>
      </w:pPr>
      <w:r w:rsidRPr="004D08A9">
        <w:rPr>
          <w:b/>
          <w:sz w:val="22"/>
          <w:szCs w:val="22"/>
        </w:rPr>
        <w:tab/>
        <w:t xml:space="preserve">Apaiser les tensions. </w:t>
      </w:r>
      <w:r w:rsidRPr="004D08A9">
        <w:rPr>
          <w:sz w:val="22"/>
          <w:szCs w:val="22"/>
        </w:rPr>
        <w:t>Les conditions de concurrence «inégales» apparaissent aujourd’hui comme une source de grave préoccupation. Les mesures de relance des États membres sont extrêmement variées et ont entraîné (bien qu’elles aient été adoptées dans l’intention louable d’absorber une partie du choc de la demande) des conditions de concurrence inégales entre les États membres. En outre, il convient d’aborder et d’analyser les aides d’État d’un point de vue sectoriel, en examinant comment ce soutien perturbera, à court et à long termes, la concurrence et les conditions de concurrence équitables.</w:t>
      </w:r>
    </w:p>
    <w:p w:rsidR="001C619C" w:rsidRPr="004D08A9" w:rsidRDefault="001C619C">
      <w:pPr>
        <w:spacing w:line="288" w:lineRule="auto"/>
        <w:ind w:left="709" w:hanging="709"/>
        <w:jc w:val="both"/>
        <w:rPr>
          <w:sz w:val="22"/>
          <w:szCs w:val="22"/>
        </w:rPr>
      </w:pPr>
    </w:p>
    <w:p w:rsidR="00130791" w:rsidRPr="004D08A9" w:rsidRDefault="00064A3F" w:rsidP="004D08A9">
      <w:pPr>
        <w:keepNext/>
        <w:keepLines/>
        <w:spacing w:line="288" w:lineRule="auto"/>
        <w:ind w:left="567"/>
        <w:jc w:val="both"/>
        <w:rPr>
          <w:sz w:val="22"/>
          <w:szCs w:val="22"/>
        </w:rPr>
      </w:pPr>
      <w:r w:rsidRPr="004D08A9">
        <w:rPr>
          <w:b/>
          <w:sz w:val="22"/>
          <w:szCs w:val="22"/>
        </w:rPr>
        <w:lastRenderedPageBreak/>
        <w:t>Relancer l’économie et la productivité.</w:t>
      </w:r>
      <w:r w:rsidRPr="004D08A9">
        <w:rPr>
          <w:sz w:val="22"/>
          <w:szCs w:val="22"/>
        </w:rPr>
        <w:t xml:space="preserve"> Nous avons besoin de productivité dans l’économie réelle (c’est-à-dire des emplois, du pouvoir d’achat et des produits et services de base). Cette productivité peut prendre des formes différentes et être assurée par divers modèles d’entreprise, mais nous devons agir dans ce domaine pour éviter de creuser encore les inégalités. Cette relance doit se traduire par des mesures de soutien et un environnement favorable aux PME et à l’industrie. Les PME, comme chacun sait, constituent l’épine dorsale de l’économie européenne et ont besoin d’un soutien spécifique, mais sans charges ni lourdeurs administratives supplémentaires. La reprise ne sera possible pour les PME qu’avec l’aide financière de l’UE et des États membres. À cet égard, les subventions, les prêts, la garantie de la liquidité, les incitations fiscales, des conditions favorables à la création et au maintien de l’emploi, la révision de la législation en matière de faillite et d’autres formes de soutien seront essentiels. En ce qui concerne les faillites, l’UE devrait prendre des mesures législatives pour permettre aux petites entreprises qui ont déposé le bilan en raison de la COVID-1</w:t>
      </w:r>
      <w:r w:rsidR="001A68C0">
        <w:rPr>
          <w:sz w:val="22"/>
          <w:szCs w:val="22"/>
        </w:rPr>
        <w:t>9 de redémarrer rapidement. Ces </w:t>
      </w:r>
      <w:r w:rsidRPr="004D08A9">
        <w:rPr>
          <w:sz w:val="22"/>
          <w:szCs w:val="22"/>
        </w:rPr>
        <w:t>interventions devraient être limitées dans le temps.</w:t>
      </w:r>
    </w:p>
    <w:p w:rsidR="00670E9B" w:rsidRPr="004D08A9" w:rsidRDefault="00670E9B">
      <w:pPr>
        <w:spacing w:line="288" w:lineRule="auto"/>
        <w:jc w:val="both"/>
        <w:rPr>
          <w:sz w:val="22"/>
          <w:szCs w:val="22"/>
        </w:rPr>
      </w:pPr>
    </w:p>
    <w:p w:rsidR="00F80FD8" w:rsidRPr="004D08A9" w:rsidRDefault="00F80FD8" w:rsidP="00526A32">
      <w:pPr>
        <w:pStyle w:val="Heading2"/>
        <w:keepNext/>
        <w:keepLines/>
        <w:rPr>
          <w:b/>
        </w:rPr>
      </w:pPr>
      <w:r w:rsidRPr="004D08A9">
        <w:rPr>
          <w:b/>
        </w:rPr>
        <w:t>Stratégie industrielle</w:t>
      </w:r>
    </w:p>
    <w:p w:rsidR="00F80FD8" w:rsidRPr="004D08A9" w:rsidRDefault="00F80FD8" w:rsidP="00526A32">
      <w:pPr>
        <w:keepNext/>
        <w:keepLines/>
        <w:spacing w:line="288" w:lineRule="auto"/>
        <w:ind w:left="709" w:hanging="709"/>
        <w:jc w:val="both"/>
        <w:rPr>
          <w:sz w:val="22"/>
          <w:szCs w:val="22"/>
        </w:rPr>
      </w:pPr>
    </w:p>
    <w:p w:rsidR="00C5371F" w:rsidRPr="004D08A9" w:rsidRDefault="00B76E60" w:rsidP="00B2380D">
      <w:pPr>
        <w:pStyle w:val="Heading3"/>
      </w:pPr>
      <w:r w:rsidRPr="004D08A9">
        <w:t>La politique industrielle européenne doit être bien coordonnée, et tenir compte non seulement des défis actuels pendant et après la pandémie de COVID-19, mais aussi des aspects liés à la numérisation et à la durabilité. Elle doit être soutenue par des investissements massifs dans des structures économiques et d’entreprise durables et par la création d’emplois de qualité assortis de contrats classiques permanents. La réalisation du potentiel d’innovation des petites et moyennes entreprises et la transition vers une économie inclusive, circulaire et neutre pour le climat pourraient garantir à la fois la sécurité des ressources à long terme, mais aussi les approvisionnements à court terme qui sont imp</w:t>
      </w:r>
      <w:r w:rsidR="001A68C0">
        <w:t>ortants pour les enjeux futurs.</w:t>
      </w:r>
    </w:p>
    <w:p w:rsidR="00C5371F" w:rsidRPr="004D08A9" w:rsidRDefault="00C5371F">
      <w:pPr>
        <w:spacing w:line="288" w:lineRule="auto"/>
        <w:ind w:left="709" w:hanging="709"/>
        <w:jc w:val="both"/>
        <w:rPr>
          <w:sz w:val="22"/>
          <w:szCs w:val="22"/>
        </w:rPr>
      </w:pPr>
    </w:p>
    <w:p w:rsidR="00C5371F" w:rsidRPr="004D08A9" w:rsidRDefault="004148C3" w:rsidP="00B2380D">
      <w:pPr>
        <w:pStyle w:val="Heading3"/>
      </w:pPr>
      <w:r w:rsidRPr="004D08A9">
        <w:t>Il y a lieu de recenser et de soutenir les industries et secteurs clés, des ressources humaines à la recherche, de manière à aboutir à une politique industrielle européenne qui protège ces secteurs stratégiques du marché et assure la sécurité de l’approvisionnement en produits essentiels, tels que les respirateurs et les masques, entre autres, en cas de pandémie. Il s’agit d’aider les entreprises qui relocalisent leurs capacités de production en Europe, de façon à permettre à l’UE de reprendre le contrôle de la production et d’assurer son autonomie sur le marché mondial, toujours en phase avec une transition écologique juste. Ces sociétés et entreprises doivent être durables, garantir une forte participation de leurs travailleurs, et contribuer au pacte vert en tant que cadre des plans de redressement et de reconstruction.</w:t>
      </w:r>
    </w:p>
    <w:p w:rsidR="00C5371F" w:rsidRPr="004D08A9" w:rsidRDefault="00C5371F">
      <w:pPr>
        <w:spacing w:line="288" w:lineRule="auto"/>
        <w:ind w:left="709" w:hanging="709"/>
        <w:jc w:val="both"/>
        <w:rPr>
          <w:sz w:val="22"/>
          <w:szCs w:val="22"/>
        </w:rPr>
      </w:pPr>
    </w:p>
    <w:p w:rsidR="00C5371F" w:rsidRPr="004D08A9" w:rsidRDefault="00670E9B" w:rsidP="00B2380D">
      <w:pPr>
        <w:pStyle w:val="Heading3"/>
      </w:pPr>
      <w:r w:rsidRPr="004D08A9">
        <w:t>La vision de l’entreprise en tant que service consiste à soigner celles qui contribuent le plus à la prospérité commune, dans des domaines tels que la santé, l’aide sociale, l’éducation, la rénovation, la culture, l’artisanat et la créativité, et qui tirent parti d’un environnement économique équitable, concurrentiel et durable et contribuent à celui-ci. Bien entendu, l’urgence sociale et l’écologie vont de pair, mais plus que jamais, l’impératif environnemental devra imprégner toutes nos actions et politiques afin que nous puissions faire face à la destruction de notre (éco)système. À cet égard, par exemple, le soutien financier accordé aux entreprises dans les secteurs polluants doit être lié à une véritable transition vers un mode de production socialement responsable et respectueux de l’environnement.</w:t>
      </w:r>
    </w:p>
    <w:p w:rsidR="00877D7C" w:rsidRPr="004D08A9" w:rsidRDefault="00877D7C" w:rsidP="00877D7C">
      <w:pPr>
        <w:rPr>
          <w:lang w:eastAsia="en-US"/>
        </w:rPr>
      </w:pPr>
    </w:p>
    <w:p w:rsidR="00B84CC4" w:rsidRPr="004D08A9" w:rsidRDefault="00B84CC4" w:rsidP="004D08A9">
      <w:pPr>
        <w:pStyle w:val="Heading3"/>
        <w:keepNext/>
        <w:keepLines/>
      </w:pPr>
      <w:r w:rsidRPr="004D08A9">
        <w:lastRenderedPageBreak/>
        <w:t>L’Europe doit financer des activités qui répondent à deux critères: le rapatriement de productions stratégiques, fournissant des emplois de qualité, afin de rendre l’Europe indépendante, notamment en matière de protection de la santé et de capacité de réaction, ainsi que la priorité donnée à des investissements durables, socialement responsables et respectueux de l’environnement. Les PME pourraient, au même titre que les grandes entreprises et les entreprises sociales, jouer un rôle crucial dans la restructuration du système de production européen.</w:t>
      </w:r>
    </w:p>
    <w:p w:rsidR="00B76E60" w:rsidRPr="004D08A9" w:rsidRDefault="00B76E60">
      <w:pPr>
        <w:spacing w:line="288" w:lineRule="auto"/>
        <w:ind w:left="709" w:hanging="709"/>
        <w:jc w:val="both"/>
        <w:rPr>
          <w:b/>
          <w:sz w:val="22"/>
          <w:szCs w:val="22"/>
        </w:rPr>
      </w:pPr>
    </w:p>
    <w:p w:rsidR="00797F8E" w:rsidRPr="004D08A9" w:rsidRDefault="00797F8E" w:rsidP="00526A32">
      <w:pPr>
        <w:pStyle w:val="Heading2"/>
        <w:keepNext/>
        <w:keepLines/>
        <w:rPr>
          <w:b/>
        </w:rPr>
      </w:pPr>
      <w:r w:rsidRPr="004D08A9">
        <w:rPr>
          <w:b/>
        </w:rPr>
        <w:t>Le pacte vert pour l’Europe</w:t>
      </w:r>
    </w:p>
    <w:p w:rsidR="00797F8E" w:rsidRPr="004D08A9" w:rsidRDefault="00797F8E" w:rsidP="00526A32">
      <w:pPr>
        <w:keepNext/>
        <w:keepLines/>
        <w:spacing w:line="288" w:lineRule="auto"/>
        <w:ind w:left="709" w:hanging="709"/>
        <w:jc w:val="both"/>
        <w:rPr>
          <w:b/>
          <w:sz w:val="22"/>
          <w:szCs w:val="22"/>
        </w:rPr>
      </w:pPr>
    </w:p>
    <w:p w:rsidR="00B76E60" w:rsidRPr="004D08A9" w:rsidRDefault="00B76E60" w:rsidP="00B2380D">
      <w:pPr>
        <w:pStyle w:val="Heading3"/>
      </w:pPr>
      <w:r w:rsidRPr="004D08A9">
        <w:t>En favorisant la transition vers une économie européenne plus durable et plus résiliente, les mesures d’incitation «vertes» doivent garantir une reprise inclusive qui ne laisse aucun Européen de côté.</w:t>
      </w:r>
    </w:p>
    <w:p w:rsidR="00F80FD8" w:rsidRPr="004D08A9" w:rsidRDefault="00F80FD8">
      <w:pPr>
        <w:spacing w:line="288" w:lineRule="auto"/>
        <w:ind w:left="709" w:hanging="709"/>
        <w:jc w:val="both"/>
        <w:rPr>
          <w:bCs/>
          <w:sz w:val="22"/>
          <w:szCs w:val="22"/>
        </w:rPr>
      </w:pPr>
    </w:p>
    <w:p w:rsidR="00B76E60" w:rsidRPr="004D08A9" w:rsidRDefault="00B76E60" w:rsidP="00B2380D">
      <w:pPr>
        <w:pStyle w:val="Heading3"/>
      </w:pPr>
      <w:r w:rsidRPr="004D08A9">
        <w:t xml:space="preserve">Conformément au principe de </w:t>
      </w:r>
      <w:proofErr w:type="spellStart"/>
      <w:r w:rsidRPr="004D08A9">
        <w:t>non-malfaisance</w:t>
      </w:r>
      <w:proofErr w:type="spellEnd"/>
      <w:r w:rsidRPr="004D08A9">
        <w:t>, les investissements réalisés dans le cadre des incitations économiques à court terme devraient soit être neutres à l’égard de la transformation structurelle de l’économie européenne vers une pollution nulle, la restauration de la biodiversité et la neutralité climatique à l’horizon 2050, soit accélérer cette transition. À cette fin, les incitations vertes devraient porter en particulier sur les mesures ayant une incidence positive sur l’utilisation plus efficace des ressources, le respect de notre capital naturel et la réduction des émissions de gaz à effet de serre à moyen et à long termes, conformément au principe de neutralité climatique.</w:t>
      </w:r>
    </w:p>
    <w:p w:rsidR="004B0171" w:rsidRPr="004D08A9" w:rsidRDefault="004B0171">
      <w:pPr>
        <w:spacing w:line="288" w:lineRule="auto"/>
        <w:ind w:left="709" w:hanging="709"/>
        <w:jc w:val="both"/>
        <w:rPr>
          <w:bCs/>
          <w:sz w:val="22"/>
          <w:szCs w:val="22"/>
        </w:rPr>
      </w:pPr>
    </w:p>
    <w:p w:rsidR="00B76E60" w:rsidRPr="004D08A9" w:rsidRDefault="00B76E60" w:rsidP="00B2380D">
      <w:pPr>
        <w:pStyle w:val="Heading3"/>
      </w:pPr>
      <w:r w:rsidRPr="004D08A9">
        <w:t>Il est essentiel que les mesures de relance verte soient ciblées, soutenant économiquement et encourageant les secteurs qui ont un effet positif maximal sur la demande globale. Afin d’optimiser la production économique, les mesures de relance verte doivent viser les secteurs qui offrent un potentiel important de création d’emplois, à condition que les compétences app</w:t>
      </w:r>
      <w:r w:rsidR="001A68C0">
        <w:t>ropriées soient disponibles. Ce </w:t>
      </w:r>
      <w:r w:rsidRPr="004D08A9">
        <w:t>faisant, il convient de tenir compte de l’impact asymétrique de la crise du coronavirus, qui touche de manière disproportionnée les économies des États membres du sud de l’Union.</w:t>
      </w:r>
    </w:p>
    <w:p w:rsidR="004B0171" w:rsidRPr="004D08A9" w:rsidRDefault="004B0171">
      <w:pPr>
        <w:spacing w:line="288" w:lineRule="auto"/>
        <w:ind w:left="709" w:hanging="709"/>
        <w:jc w:val="both"/>
        <w:rPr>
          <w:bCs/>
          <w:sz w:val="22"/>
          <w:szCs w:val="22"/>
        </w:rPr>
      </w:pPr>
    </w:p>
    <w:p w:rsidR="004B0171" w:rsidRPr="004D08A9" w:rsidRDefault="00B76E60" w:rsidP="00B2380D">
      <w:pPr>
        <w:pStyle w:val="Heading3"/>
      </w:pPr>
      <w:r w:rsidRPr="004D08A9">
        <w:t>L’Union européenne a entamé, grâce au pacte vert pour l’Europe, une transition vers une économie durable. Il est donc logique que les mesures de soutien économique soient combinées à d’autres, destinées à stimuler davantage cette transition. Les fonds publics doivent être utilisés de manière à produire un effet social et environnemental positif. Concernant l’emploi, cela ne signifie pas nécessairement que les mêmes emplois ou les mêmes activités économiques doivent être préservés ou sauvegardés. Dans les cas où une entreprise ou un secteur ne présentent aucune perspective raisonnable dans le cadre d’une économie durable, ces mesures d’aide pourraient utilement servir à générer des changements au sein d’un secteur, ou encore un passage d’un secteur à un autre.</w:t>
      </w:r>
      <w:r w:rsidRPr="004D08A9">
        <w:br/>
      </w:r>
    </w:p>
    <w:p w:rsidR="00F80FD8" w:rsidRPr="004D08A9" w:rsidRDefault="00F80FD8" w:rsidP="00B2380D">
      <w:pPr>
        <w:pStyle w:val="Heading3"/>
      </w:pPr>
      <w:r w:rsidRPr="004D08A9">
        <w:t>Le pacte vert requiert, pour l’avenir, des forces vives économiques qui soient résilientes et s’engagent à réussir. Les entreprises européennes, qui déploient leurs activités par-delà les frontières, sont des acteurs sociaux pertinents et importants. Elles devraient dans ce cadre se laisser guider par la notion politique de «transition juste». Une «entreprise durable» caractérisée par la «voix forte des travailleurs» est un acteur politique essentiel, garantissant en son sein l’obligation d’information, le droit à la consultation et la participation au conseil d’administration, et intégrant la politique macroéconomique dans les conventions collectives. En permettant aux salariés, aux syndicats et aux comités d’entreprise de participer activement à la mise en œuvre du plan d’entreprise guidé par le concept d’«entreprise durable pour une transition juste», on offre des perspectives en matière de lieux de travail décents, de conditions de travail correctes dans des environnements sains et de régions où il fait bon vivre.</w:t>
      </w:r>
    </w:p>
    <w:p w:rsidR="00F80FD8" w:rsidRPr="004D08A9" w:rsidRDefault="00F80FD8">
      <w:pPr>
        <w:spacing w:line="288" w:lineRule="auto"/>
        <w:ind w:left="709" w:hanging="709"/>
        <w:jc w:val="both"/>
        <w:rPr>
          <w:sz w:val="22"/>
          <w:szCs w:val="22"/>
        </w:rPr>
      </w:pPr>
    </w:p>
    <w:p w:rsidR="00B30574" w:rsidRPr="004D08A9" w:rsidRDefault="00B76E60" w:rsidP="00B2380D">
      <w:pPr>
        <w:pStyle w:val="Heading3"/>
      </w:pPr>
      <w:r w:rsidRPr="004D08A9">
        <w:lastRenderedPageBreak/>
        <w:t>Il faut mettre en place des mesures de soutien par étapes, car nul ne peut prédire de quelle manière l’économie évoluera après la crise du coronavirus. Pour cette raison, nous souhaitons que les mesures de soutien soient mises en œuvre en plusieurs phases, de manière à permettre des ajustements en fonction des progrès et de l’évaluation de chaque secteur, reposant notamment sur leur degré d’incidence positive pour le climat et la nature.</w:t>
      </w:r>
    </w:p>
    <w:p w:rsidR="004B0171" w:rsidRPr="004D08A9" w:rsidRDefault="004B0171">
      <w:pPr>
        <w:spacing w:line="288" w:lineRule="auto"/>
        <w:ind w:left="709" w:hanging="709"/>
        <w:jc w:val="both"/>
        <w:rPr>
          <w:sz w:val="22"/>
          <w:szCs w:val="22"/>
        </w:rPr>
      </w:pPr>
    </w:p>
    <w:p w:rsidR="00E41A8D" w:rsidRPr="004D08A9" w:rsidRDefault="00E41A8D" w:rsidP="00B2380D">
      <w:pPr>
        <w:pStyle w:val="Heading3"/>
        <w:rPr>
          <w:rFonts w:eastAsia="Calibri"/>
        </w:rPr>
      </w:pPr>
      <w:r w:rsidRPr="004D08A9">
        <w:t xml:space="preserve">Le pacte vert devra préserver le modèle agricole européen reposant sur </w:t>
      </w:r>
      <w:r w:rsidR="001A68C0">
        <w:t>la qualité et la durabilité. Le </w:t>
      </w:r>
      <w:r w:rsidRPr="004D08A9">
        <w:t>pl</w:t>
      </w:r>
      <w:r w:rsidR="001A68C0">
        <w:t>an de relance devra promouvoir:</w:t>
      </w:r>
    </w:p>
    <w:p w:rsidR="00216655" w:rsidRPr="004D08A9" w:rsidRDefault="00216655">
      <w:pPr>
        <w:spacing w:line="288" w:lineRule="auto"/>
        <w:ind w:left="709" w:hanging="709"/>
        <w:jc w:val="both"/>
        <w:rPr>
          <w:rFonts w:eastAsia="Calibri"/>
          <w:sz w:val="22"/>
          <w:szCs w:val="22"/>
        </w:rPr>
      </w:pPr>
    </w:p>
    <w:p w:rsidR="00E41A8D" w:rsidRPr="004D08A9" w:rsidRDefault="00E41A8D">
      <w:pPr>
        <w:pStyle w:val="ListParagraph"/>
        <w:numPr>
          <w:ilvl w:val="0"/>
          <w:numId w:val="32"/>
        </w:numPr>
        <w:spacing w:line="288" w:lineRule="auto"/>
        <w:ind w:left="1066" w:hanging="357"/>
        <w:jc w:val="both"/>
        <w:rPr>
          <w:rFonts w:ascii="Times New Roman" w:hAnsi="Times New Roman"/>
          <w:sz w:val="22"/>
        </w:rPr>
      </w:pPr>
      <w:r w:rsidRPr="004D08A9">
        <w:rPr>
          <w:rFonts w:ascii="Times New Roman" w:hAnsi="Times New Roman"/>
          <w:sz w:val="22"/>
        </w:rPr>
        <w:t>des systèmes alimentaires plus durables, tant au niveau de la production que de la consommation, dans le droit fil des intentions de la Commission en ce qui concerne la stratégie «De la ferme à la table» pour une alimentation durable;</w:t>
      </w:r>
    </w:p>
    <w:p w:rsidR="00E41A8D" w:rsidRPr="004D08A9" w:rsidRDefault="00E41A8D">
      <w:pPr>
        <w:pStyle w:val="ListParagraph"/>
        <w:numPr>
          <w:ilvl w:val="0"/>
          <w:numId w:val="32"/>
        </w:numPr>
        <w:spacing w:line="288" w:lineRule="auto"/>
        <w:ind w:left="1066" w:hanging="357"/>
        <w:jc w:val="both"/>
        <w:rPr>
          <w:rFonts w:ascii="Times New Roman" w:hAnsi="Times New Roman"/>
          <w:sz w:val="22"/>
        </w:rPr>
      </w:pPr>
      <w:r w:rsidRPr="004D08A9">
        <w:rPr>
          <w:rFonts w:ascii="Times New Roman" w:hAnsi="Times New Roman"/>
          <w:sz w:val="22"/>
        </w:rPr>
        <w:t>la souveraineté alimentaire de l’UE dans un esprit de solidarité entre les différentes formes d’agriculture européennes et d’intégration des aspects économiques, sociaux et environnementaux;</w:t>
      </w:r>
    </w:p>
    <w:p w:rsidR="00B30574" w:rsidRPr="004D08A9" w:rsidRDefault="007E50F6">
      <w:pPr>
        <w:pStyle w:val="ListParagraph"/>
        <w:numPr>
          <w:ilvl w:val="0"/>
          <w:numId w:val="32"/>
        </w:numPr>
        <w:spacing w:line="288" w:lineRule="auto"/>
        <w:ind w:left="1066" w:hanging="357"/>
        <w:jc w:val="both"/>
        <w:rPr>
          <w:rFonts w:ascii="Times New Roman" w:hAnsi="Times New Roman"/>
          <w:sz w:val="22"/>
        </w:rPr>
      </w:pPr>
      <w:r w:rsidRPr="004D08A9">
        <w:rPr>
          <w:rFonts w:ascii="Times New Roman" w:hAnsi="Times New Roman"/>
          <w:sz w:val="22"/>
        </w:rPr>
        <w:t>la proposition ambitieuse portée par la nouvelle stratégie de l’UE en matière de biodiversité, qui doit être une composante essentielle de tous les efforts de reconstruction. Une stratégie ambitieuse enverrait un signal fort et cohérent en faveur de l’environnement, du climat, de la santé publique et de l’action sociale. Elle bénéficierait à la fois à la PAC et au système alimentaire européen qui pourraient ainsi poursuivre leur mue vers davantage de durabilité.</w:t>
      </w:r>
    </w:p>
    <w:p w:rsidR="00266062" w:rsidRPr="004D08A9" w:rsidRDefault="00266062" w:rsidP="00B2380D">
      <w:pPr>
        <w:spacing w:line="288" w:lineRule="auto"/>
        <w:ind w:left="709" w:hanging="709"/>
        <w:jc w:val="both"/>
        <w:rPr>
          <w:b/>
          <w:iCs/>
          <w:sz w:val="22"/>
          <w:szCs w:val="22"/>
        </w:rPr>
      </w:pPr>
    </w:p>
    <w:p w:rsidR="00B76E60" w:rsidRPr="004D08A9" w:rsidRDefault="00B76E60" w:rsidP="00526A32">
      <w:pPr>
        <w:pStyle w:val="Heading2"/>
        <w:keepNext/>
        <w:keepLines/>
        <w:rPr>
          <w:b/>
        </w:rPr>
      </w:pPr>
      <w:r w:rsidRPr="004D08A9">
        <w:rPr>
          <w:b/>
        </w:rPr>
        <w:t>Les priorités d’investissement</w:t>
      </w:r>
    </w:p>
    <w:p w:rsidR="00B76E60" w:rsidRPr="004D08A9" w:rsidRDefault="00B76E60" w:rsidP="00526A32">
      <w:pPr>
        <w:keepNext/>
        <w:keepLines/>
        <w:spacing w:line="288" w:lineRule="auto"/>
        <w:ind w:left="709" w:hanging="709"/>
        <w:jc w:val="both"/>
        <w:rPr>
          <w:sz w:val="22"/>
          <w:szCs w:val="22"/>
        </w:rPr>
      </w:pPr>
    </w:p>
    <w:p w:rsidR="004B0171" w:rsidRPr="004D08A9" w:rsidRDefault="002E7BFE" w:rsidP="00B2380D">
      <w:pPr>
        <w:pStyle w:val="Heading3"/>
      </w:pPr>
      <w:r w:rsidRPr="004D08A9">
        <w:t>Il sera essentiel, pour parvenir à une économie du «bien-être», d’investir de manière durable dans les communautés, des espaces publics accessibles, les soins de santé, l’éducation inclusive, les services sociaux, les logements et les infrastructures à émissions nulles de carbone, ainsi que la protection et la restauration de la biodiversité et la décentralisation de la production énergétique. L’un des domaines auquel il convient d’accorder la priorité est la rénovation énergétique des bâtiments. Cette vague de rénovation devrait également être l’occasion de rendre le parc immobilier plus durable tout en améliorant son accessibilité pour une population vieillissante et un nombre croissant de personnes handicapées.</w:t>
      </w:r>
    </w:p>
    <w:p w:rsidR="004B0171" w:rsidRPr="004D08A9" w:rsidRDefault="004B0171">
      <w:pPr>
        <w:spacing w:line="288" w:lineRule="auto"/>
        <w:ind w:left="709" w:hanging="709"/>
        <w:jc w:val="both"/>
        <w:rPr>
          <w:sz w:val="22"/>
          <w:szCs w:val="22"/>
        </w:rPr>
      </w:pPr>
    </w:p>
    <w:p w:rsidR="00D85377" w:rsidRPr="004D08A9" w:rsidRDefault="00B76E60" w:rsidP="00B2380D">
      <w:pPr>
        <w:pStyle w:val="Heading3"/>
      </w:pPr>
      <w:r w:rsidRPr="004D08A9">
        <w:t xml:space="preserve">La rénovation de millions de logements pour les rendre économes en énergie et durables permettra de relancer la construction, qui est un secteur important, et de nous rapprocher un peu plus de la neutralité climatique. La construction est un secteur à forte intensité de main-d’œuvre et la consommation d’énergie dans les bâtiments (éclairage, chauffage) représente un tiers des émissions de </w:t>
      </w:r>
      <w:r w:rsidR="00E61C24" w:rsidRPr="004D08A9">
        <w:t>CO</w:t>
      </w:r>
      <w:r w:rsidR="00E61C24" w:rsidRPr="004D08A9">
        <w:rPr>
          <w:vertAlign w:val="subscript"/>
        </w:rPr>
        <w:t>2</w:t>
      </w:r>
      <w:r w:rsidRPr="004D08A9">
        <w:t xml:space="preserve"> en Europe. Le travail à réaliser est énorme, étant donné que 75 % des bâtiments résidentiels et commerciaux ont été construits avant l’adoption de règles de l’UE sur la consommation d’énergie. La rénovation des logements des personnes en situation de précarité énergétique dans l’UE entraînerait une diminution significative des dépenses de santé publique: des études réalisées dans le passé ont montré qu’en moyenne, le coût de la précarité énergétique dans un système de santé moderne pourrait être trois fois plus élevé que le coût des mesures de réhabilitation des logements</w:t>
      </w:r>
      <w:r w:rsidR="00D43001" w:rsidRPr="004D08A9">
        <w:rPr>
          <w:rStyle w:val="FootnoteReference"/>
        </w:rPr>
        <w:footnoteReference w:id="9"/>
      </w:r>
      <w:r w:rsidRPr="004D08A9">
        <w:t>.</w:t>
      </w:r>
    </w:p>
    <w:p w:rsidR="00D85377" w:rsidRPr="004D08A9" w:rsidRDefault="00D85377">
      <w:pPr>
        <w:spacing w:line="288" w:lineRule="auto"/>
        <w:ind w:left="709" w:hanging="709"/>
        <w:jc w:val="both"/>
        <w:rPr>
          <w:sz w:val="22"/>
          <w:szCs w:val="22"/>
        </w:rPr>
      </w:pPr>
    </w:p>
    <w:p w:rsidR="00B76E60" w:rsidRPr="004D08A9" w:rsidRDefault="00D85377" w:rsidP="00B2380D">
      <w:pPr>
        <w:pStyle w:val="Heading3"/>
      </w:pPr>
      <w:r w:rsidRPr="004D08A9">
        <w:lastRenderedPageBreak/>
        <w:t>Eu égard au vieillissement du logement ainsi que du patrimoine architectural et infrastructurel, le CESE attire l’attention sur l’importance de mobiliser un volume adéquat d’investissements destinés à préserver (dans les zones à risque de tremblements de terre) et à restructurer le logement, le patrimoine artistique (métropoles, villes, villages) et les infrastructures de transport (ports, ponts, autoroutes, etc.).</w:t>
      </w:r>
    </w:p>
    <w:p w:rsidR="004B0171" w:rsidRPr="004D08A9" w:rsidRDefault="004B0171">
      <w:pPr>
        <w:spacing w:line="288" w:lineRule="auto"/>
        <w:ind w:left="709" w:hanging="709"/>
        <w:jc w:val="both"/>
        <w:rPr>
          <w:sz w:val="22"/>
          <w:szCs w:val="22"/>
        </w:rPr>
      </w:pPr>
    </w:p>
    <w:p w:rsidR="00B76E60" w:rsidRPr="004D08A9" w:rsidRDefault="00796CC8" w:rsidP="00B2380D">
      <w:pPr>
        <w:pStyle w:val="Heading3"/>
      </w:pPr>
      <w:r w:rsidRPr="004D08A9">
        <w:t>L’expansion des énergies renouvelables et à faibles émissions de carbone nécessite non seulement la construction d’installations appropriées, mais aussi la modernisation de l’ensemble du réseau électrique européen et des possibilités de stockage.</w:t>
      </w:r>
    </w:p>
    <w:p w:rsidR="004B0171" w:rsidRPr="004D08A9" w:rsidRDefault="004B0171">
      <w:pPr>
        <w:spacing w:line="288" w:lineRule="auto"/>
        <w:ind w:left="709" w:hanging="709"/>
        <w:jc w:val="both"/>
        <w:rPr>
          <w:sz w:val="22"/>
          <w:szCs w:val="22"/>
        </w:rPr>
      </w:pPr>
    </w:p>
    <w:p w:rsidR="00B76E60" w:rsidRPr="004D08A9" w:rsidRDefault="00B76E60" w:rsidP="00B2380D">
      <w:pPr>
        <w:pStyle w:val="Heading3"/>
      </w:pPr>
      <w:r w:rsidRPr="004D08A9">
        <w:t>Le plan de relance est l’occasion d’investir dans les transports publics indispensables et de garantir un véritable transfert modal, de manière à réduire la pollution atmosphérique et à contribuer à l’action pour le climat. Cela signifie plus de tramways, des bus à émissions nulles plus fréquents et une véritable intermodalité dans nos villes; un plan d’action de l’UE et un soutien financier à grande échelle pour la modernisation, l’extension et l’entretien des chemins de fer, les investissements dans les trains, les trains de nuit, les liaisons ferroviaires transfrontalières et d’autres innovations lié</w:t>
      </w:r>
      <w:r w:rsidR="001A68C0">
        <w:t>es au transport ferroviaire. Il </w:t>
      </w:r>
      <w:r w:rsidRPr="004D08A9">
        <w:t>devrait y avoir une coordination au niveau de l’UE afin que les vols court-courriers soient remplacés par des solutions de substitution durables. L’allégement du trafic routier passe par un accroissement du fret ferroviaire, fluvial et maritime (par exemple, le transport maritime durable à courte distance).</w:t>
      </w:r>
    </w:p>
    <w:p w:rsidR="004B0171" w:rsidRPr="004D08A9" w:rsidRDefault="004B0171">
      <w:pPr>
        <w:spacing w:line="288" w:lineRule="auto"/>
        <w:ind w:left="709" w:hanging="709"/>
        <w:jc w:val="both"/>
        <w:rPr>
          <w:sz w:val="22"/>
          <w:szCs w:val="22"/>
        </w:rPr>
      </w:pPr>
    </w:p>
    <w:p w:rsidR="00B76E60" w:rsidRPr="004D08A9" w:rsidRDefault="00B76E60" w:rsidP="00B2380D">
      <w:pPr>
        <w:pStyle w:val="Heading3"/>
      </w:pPr>
      <w:r w:rsidRPr="004D08A9">
        <w:t>Il y a lieu de créer les bases d’une industrie européenne de la mobilité à émissions nulles, qui soit en mesure de répondre à la demande croissante de solutions de remplacem</w:t>
      </w:r>
      <w:r w:rsidR="001A68C0">
        <w:t>ent des moteurs à combustion et </w:t>
      </w:r>
      <w:r w:rsidRPr="004D08A9">
        <w:t>d’infrastructures de recharge tant pour les voitures que les camionnettes, les autobus et les camions, mais aussi pour stimuler l’approvisionnement du secteur ferroviaire. Cela implique également la mise en place d’un vaste réseau de stations de recharge électrique dans toute l’Europe et le développement de batteries durables et plus efficaces. Cette approche sera accompagnée de programmes de reconversion, offrant de nouvelles perspectives de carrière aux travailleurs quittant le secteur des transports reposant sur les combustibles fossiles.</w:t>
      </w:r>
    </w:p>
    <w:p w:rsidR="004B0171" w:rsidRPr="004D08A9" w:rsidRDefault="004B0171">
      <w:pPr>
        <w:spacing w:line="288" w:lineRule="auto"/>
        <w:ind w:left="709" w:hanging="709"/>
        <w:jc w:val="both"/>
        <w:rPr>
          <w:sz w:val="22"/>
          <w:szCs w:val="22"/>
        </w:rPr>
      </w:pPr>
    </w:p>
    <w:p w:rsidR="00B76E60" w:rsidRPr="004D08A9" w:rsidRDefault="00B76E60" w:rsidP="00B2380D">
      <w:pPr>
        <w:pStyle w:val="Heading3"/>
      </w:pPr>
      <w:r w:rsidRPr="004D08A9">
        <w:t>Comme on l’a vu dans plusieurs villes, le confinement a remis en question l’usage traditionnel de l’espace urbain et de la mobilité et a encouragé l’expérimentation. La période de relance peut en outre bénéficier du développement du vélo dans la mesure où celui-ci favorise la distanciation physique, diminue l’affluence dans les transports publics, libère de l’espace et offre un accès plus aisé aux magasins locaux. Les effets des investissements destinés à améliorer les infrastructures cyclistes peuvent rapidement se faire sentir dans les villes et entre celles-ci et promouvoir l’écosystème cyclable.</w:t>
      </w:r>
    </w:p>
    <w:p w:rsidR="004B0171" w:rsidRPr="004D08A9" w:rsidRDefault="004B0171">
      <w:pPr>
        <w:spacing w:line="288" w:lineRule="auto"/>
        <w:ind w:left="709" w:hanging="709"/>
        <w:jc w:val="both"/>
        <w:rPr>
          <w:sz w:val="22"/>
          <w:szCs w:val="22"/>
        </w:rPr>
      </w:pPr>
    </w:p>
    <w:p w:rsidR="00B76E60" w:rsidRPr="004D08A9" w:rsidRDefault="00B76E60" w:rsidP="00B2380D">
      <w:pPr>
        <w:pStyle w:val="Heading3"/>
      </w:pPr>
      <w:r w:rsidRPr="004D08A9">
        <w:t>La transformation de l’économie en une économie circulaire est un élément essentiel du succès du pacte vert. C’est la raison pour laquelle, par exemple, les industries de l’acier et du ciment (grosses consommatrices d’énergie) et le secteur chimique doivent être organisés différemment.</w:t>
      </w:r>
    </w:p>
    <w:p w:rsidR="004B0171" w:rsidRPr="004D08A9" w:rsidRDefault="004B0171">
      <w:pPr>
        <w:spacing w:line="288" w:lineRule="auto"/>
        <w:ind w:left="709" w:hanging="709"/>
        <w:jc w:val="both"/>
        <w:rPr>
          <w:sz w:val="22"/>
          <w:szCs w:val="22"/>
        </w:rPr>
      </w:pPr>
    </w:p>
    <w:p w:rsidR="00B76E60" w:rsidRPr="004D08A9" w:rsidRDefault="00B76E60" w:rsidP="00B2380D">
      <w:pPr>
        <w:pStyle w:val="Heading3"/>
      </w:pPr>
      <w:r w:rsidRPr="004D08A9">
        <w:t>S’il est axé sur la transition vers une économie circulaire, le plan de relance peut accélérer considérablement l’évolution nécessaire des infrastructures et promouvoir l’innovation en matière de matériaux de substitution et de nouvelles technologies. Premièrement, pour éviter les déchets, l’UE devrait soutenir les initiatives de création de start-up et d’entreprises de l’économie sociale dans le domaine de la réparation et de la réutilisation, ainsi que la formation (ou le recyclage) correspondants des personnes qui perdent leur emploi en période de récession économique. Ces mesures pourraient se concentrer plus particulièrement sur les «régions en transition juste», en leur permettant de passer de l’exploitation des mines traditionnelles à celle des «mines urbaines».</w:t>
      </w:r>
    </w:p>
    <w:p w:rsidR="004B0171" w:rsidRPr="004D08A9" w:rsidRDefault="004B0171">
      <w:pPr>
        <w:spacing w:line="288" w:lineRule="auto"/>
        <w:ind w:left="709" w:hanging="709"/>
        <w:jc w:val="both"/>
        <w:rPr>
          <w:sz w:val="22"/>
          <w:szCs w:val="22"/>
        </w:rPr>
      </w:pPr>
    </w:p>
    <w:p w:rsidR="00B76E60" w:rsidRPr="004D08A9" w:rsidRDefault="00B76E60" w:rsidP="00B2380D">
      <w:pPr>
        <w:pStyle w:val="Heading3"/>
      </w:pPr>
      <w:r w:rsidRPr="004D08A9">
        <w:t>Deuxièmement, la collecte sélective des déchets municipaux est essentielle à la valorisation des déchets par le recyclage. L’UE devrait dès lors aider les collectivités locales à combler le retard d’investissement dans les infrastructures municipales de collecte des déchets, de tri et de recyclage au cours des cinq prochaines années.</w:t>
      </w:r>
    </w:p>
    <w:p w:rsidR="004B0171" w:rsidRPr="004D08A9" w:rsidRDefault="004B0171">
      <w:pPr>
        <w:spacing w:line="288" w:lineRule="auto"/>
        <w:ind w:left="709" w:hanging="709"/>
        <w:jc w:val="both"/>
        <w:rPr>
          <w:sz w:val="22"/>
          <w:szCs w:val="22"/>
        </w:rPr>
      </w:pPr>
    </w:p>
    <w:p w:rsidR="00476939" w:rsidRPr="004D08A9" w:rsidRDefault="00B76E60" w:rsidP="00B2380D">
      <w:pPr>
        <w:pStyle w:val="Heading3"/>
      </w:pPr>
      <w:r w:rsidRPr="004D08A9">
        <w:t>La crise du coronavirus montre que la révolution numérique joue un rôle important dans l’augmentation de la résilience de nos sociétés face aux crises. Il est primordial d’investir dans la numérisation des services essentiels et d’accroître la capacité des gouvernements, des législateurs et des institutions publiques à fournir leurs services en temps de crise. Dans le même temps, nous devons nous rendre compte que les technologies numériques ne constituent pas une fin en soi. Les pouvoirs publics doivent s’approprier le cadre qui entoure les technologies numériques et l’orienter vers des normes de durabilité élevées, en le dotant notamment de solides garanties démocratiques et technologiques, assorties de mesures de soutien des coûts et des connaissances qui ne laissent personne de côté. Il convient dès lors, conformément à l’acte législatif européen sur l’accessibilité, de veiller à ce que la révolution numérique bénéficie également aux plus de 100 millions de personnes handicapées dans l’UE.</w:t>
      </w:r>
      <w:r w:rsidR="00E61C24" w:rsidRPr="004D08A9">
        <w:t xml:space="preserve">  </w:t>
      </w:r>
    </w:p>
    <w:p w:rsidR="00D43001" w:rsidRPr="004D08A9" w:rsidRDefault="00D43001">
      <w:pPr>
        <w:spacing w:line="288" w:lineRule="auto"/>
        <w:ind w:left="709" w:hanging="709"/>
        <w:jc w:val="both"/>
        <w:rPr>
          <w:sz w:val="22"/>
          <w:szCs w:val="22"/>
        </w:rPr>
      </w:pPr>
    </w:p>
    <w:p w:rsidR="00B76E60" w:rsidRPr="004D08A9" w:rsidRDefault="00B76E60" w:rsidP="00B2380D">
      <w:pPr>
        <w:pStyle w:val="Heading3"/>
      </w:pPr>
      <w:r w:rsidRPr="004D08A9">
        <w:t xml:space="preserve">La stratégie «De la ferme à la table» devrait orienter clairement le système alimentaire de l’UE après la crise sanitaire actuelle et encourager les mesures visant à mettre en place des chaînes d’approvisionnement alimentaire plus durables, plus résilientes et plus équitables. Des mesures à court terme sont nécessaires pour remédier aux pénuries saisonnières de main-d’œuvre et empêcher les ruptures de la chaîne d’approvisionnement. À plus long terme, la stratégie «De la ferme à la table» et la politique agricole commune doivent renforcer la résilience et la viabilité de notre système alimentaire, en rétablissant des modèles agricoles plus diversifiés, en promouvant des </w:t>
      </w:r>
      <w:proofErr w:type="spellStart"/>
      <w:r w:rsidRPr="004D08A9">
        <w:t>plateformes</w:t>
      </w:r>
      <w:proofErr w:type="spellEnd"/>
      <w:r w:rsidRPr="004D08A9">
        <w:t xml:space="preserve"> locales de distribution de denrées alimentaires et des chaînes d’approvisionnement plus courtes, et en améliorant l’accès au marché des petits agriculteurs et des pêcheurs et aquaculteurs qui ont une faible incidence sur l’environnement.</w:t>
      </w:r>
    </w:p>
    <w:p w:rsidR="00D43001" w:rsidRPr="004D08A9" w:rsidRDefault="00D43001">
      <w:pPr>
        <w:spacing w:line="288" w:lineRule="auto"/>
        <w:ind w:left="709" w:hanging="709"/>
        <w:jc w:val="both"/>
        <w:rPr>
          <w:sz w:val="22"/>
          <w:szCs w:val="22"/>
        </w:rPr>
      </w:pPr>
    </w:p>
    <w:p w:rsidR="00B91836" w:rsidRPr="004D08A9" w:rsidRDefault="00B76E60" w:rsidP="00B2380D">
      <w:pPr>
        <w:pStyle w:val="Heading3"/>
      </w:pPr>
      <w:r w:rsidRPr="004D08A9">
        <w:t>Il y a lieu d’investir dans des programmes de reconversion pour des secteurs peu susceptibles de s’avérer durables (par exemple, ceux qui dépendent fortement des combustibles fossiles). Cela signifie qu’ils doivent rechercher des possibilités de réduction des combustibles fossiles ou d’écologisation de leur activité. Nous prônons une politique d’investissement ciblée qui oriente les emplois perdus vers des secteurs confrontés à une pénurie de main-d’œuvre, c’est-à-dire les secteurs sociaux et verts.</w:t>
      </w:r>
    </w:p>
    <w:p w:rsidR="00D43001" w:rsidRPr="004D08A9" w:rsidRDefault="00D43001">
      <w:pPr>
        <w:spacing w:line="288" w:lineRule="auto"/>
        <w:ind w:left="709" w:hanging="709"/>
        <w:jc w:val="both"/>
        <w:rPr>
          <w:sz w:val="22"/>
          <w:szCs w:val="22"/>
        </w:rPr>
      </w:pPr>
    </w:p>
    <w:p w:rsidR="00B91836" w:rsidRPr="004D08A9" w:rsidRDefault="00B91836" w:rsidP="00B2380D">
      <w:pPr>
        <w:pStyle w:val="Heading3"/>
      </w:pPr>
      <w:r w:rsidRPr="004D08A9">
        <w:t>Les États membres doivent investir davantage dans les services publics, car, comme l’a démontré la crise, ces derniers ont un rôle crucial à jouer dans le sauvetage des vies humaines et la lutte contre la pandémie. Par conséquent, les dirigeants européens devraient envisager ce que l’on appelle une «règle d’or» dans le cadre de l’application des règles budgétaires de l’UE, excluant les dépenses d’investissement public du calcul des déficits et tenant compte de la viabilité du niveau d’endettement existant. L’UE devrait procéder à une analyse approfondie de la libéralisation des services publics sur la base des règles de concurrence. L’accès aux services publics devrait également être amélioré.</w:t>
      </w:r>
      <w:r w:rsidR="00E61C24" w:rsidRPr="004D08A9">
        <w:t xml:space="preserve">  </w:t>
      </w:r>
    </w:p>
    <w:p w:rsidR="00B11494" w:rsidRPr="004D08A9" w:rsidRDefault="00B11494">
      <w:pPr>
        <w:spacing w:line="288" w:lineRule="auto"/>
        <w:ind w:left="709" w:hanging="709"/>
        <w:jc w:val="both"/>
        <w:rPr>
          <w:sz w:val="22"/>
          <w:szCs w:val="22"/>
        </w:rPr>
      </w:pPr>
    </w:p>
    <w:p w:rsidR="00B11494" w:rsidRPr="004D08A9" w:rsidRDefault="00DF3E0A" w:rsidP="00526A32">
      <w:pPr>
        <w:pStyle w:val="Heading2"/>
        <w:keepNext/>
        <w:keepLines/>
        <w:rPr>
          <w:b/>
        </w:rPr>
      </w:pPr>
      <w:r w:rsidRPr="004D08A9">
        <w:rPr>
          <w:b/>
        </w:rPr>
        <w:lastRenderedPageBreak/>
        <w:t>Les mesures sociales</w:t>
      </w:r>
    </w:p>
    <w:p w:rsidR="004B0171" w:rsidRPr="004D08A9" w:rsidRDefault="004B0171" w:rsidP="00526A32">
      <w:pPr>
        <w:keepNext/>
        <w:keepLines/>
        <w:spacing w:line="288" w:lineRule="auto"/>
        <w:ind w:left="709" w:hanging="709"/>
        <w:jc w:val="both"/>
        <w:rPr>
          <w:sz w:val="22"/>
          <w:szCs w:val="22"/>
        </w:rPr>
      </w:pPr>
    </w:p>
    <w:p w:rsidR="00B11494" w:rsidRPr="004D08A9" w:rsidRDefault="00785C57" w:rsidP="00B2380D">
      <w:pPr>
        <w:pStyle w:val="Heading3"/>
      </w:pPr>
      <w:r w:rsidRPr="004D08A9">
        <w:t>La mise en œuvre du socle européen des droits sociaux au niveau européen et dans tous les États membres est une étape importante d’un processus proactif de convergence sociale. Le socle européen des droits sociaux est l’outil qui permet d’établir un nouveau tableau de bord social actualisé.</w:t>
      </w:r>
      <w:r w:rsidR="00E61C24" w:rsidRPr="004D08A9">
        <w:t xml:space="preserve">  </w:t>
      </w:r>
    </w:p>
    <w:p w:rsidR="00797F8E" w:rsidRPr="004D08A9" w:rsidRDefault="00797F8E">
      <w:pPr>
        <w:spacing w:line="288" w:lineRule="auto"/>
        <w:ind w:left="709" w:hanging="709"/>
        <w:jc w:val="both"/>
        <w:rPr>
          <w:sz w:val="22"/>
          <w:szCs w:val="22"/>
        </w:rPr>
      </w:pPr>
    </w:p>
    <w:p w:rsidR="006A3784" w:rsidRPr="004D08A9" w:rsidRDefault="006A3784" w:rsidP="00B2380D">
      <w:pPr>
        <w:pStyle w:val="Heading3"/>
      </w:pPr>
      <w:r w:rsidRPr="004D08A9">
        <w:t>Nous devons placer l’emploi au cœur de la stratégie de l’UE, renforcer l’importance du savoir-faire et sa valorisation continue grâce au système d’éducation, de formation et d’apprentissage tout au long de la vie, qui permet à la main-d’œuvre européenne de s’adapter au changement du système de production à la suite de la transition numérique et verte.</w:t>
      </w:r>
    </w:p>
    <w:p w:rsidR="006A3784" w:rsidRPr="004D08A9" w:rsidRDefault="006A3784">
      <w:pPr>
        <w:spacing w:line="288" w:lineRule="auto"/>
        <w:ind w:left="709" w:hanging="1"/>
        <w:jc w:val="both"/>
        <w:rPr>
          <w:sz w:val="22"/>
          <w:szCs w:val="22"/>
        </w:rPr>
      </w:pPr>
    </w:p>
    <w:p w:rsidR="004B0171" w:rsidRPr="004D08A9" w:rsidRDefault="00670E9B" w:rsidP="00B2380D">
      <w:pPr>
        <w:pStyle w:val="Heading3"/>
      </w:pPr>
      <w:r w:rsidRPr="004D08A9">
        <w:t xml:space="preserve">Il sera crucial de revoir la conception du travail dans la phase de reprise après la crise de la COVID-19. Dans les secteurs, tant privés que publics, de la santé et des soins, la recherche d’une productivité sans cesse croissante a nui à la qualité du service et à l’expérience professionnelle, ce qui a eu des conséquences dramatiques lors de la crise sanitaire dans la plupart des pays de l’UE. Une transition vers les services aboutirait à une économie à plus forte intensité de main-d’œuvre, contrebalançant la précarité des emplois dans ces secteurs, assurant des niveaux d’emploi plus élevés et recréant des emplois dans l’économie réelle. Il est donc primordial de mettre en place des politiques de soutien au travail de qualité dans les secteurs à forte intensité de main-d’œuvre qui fournissent des services de haut niveau. </w:t>
      </w:r>
    </w:p>
    <w:p w:rsidR="004B0171" w:rsidRPr="004D08A9" w:rsidRDefault="004B0171">
      <w:pPr>
        <w:spacing w:line="288" w:lineRule="auto"/>
        <w:ind w:left="709" w:hanging="709"/>
        <w:jc w:val="both"/>
        <w:rPr>
          <w:sz w:val="22"/>
          <w:szCs w:val="22"/>
        </w:rPr>
      </w:pPr>
    </w:p>
    <w:p w:rsidR="004B0171" w:rsidRPr="004D08A9" w:rsidRDefault="00B11494" w:rsidP="00B2380D">
      <w:pPr>
        <w:pStyle w:val="Heading3"/>
      </w:pPr>
      <w:r w:rsidRPr="004D08A9">
        <w:t>Le CESE accueille favorablement le programme de travail actualisé de la Commission européenne pour 2020</w:t>
      </w:r>
      <w:r w:rsidRPr="004D08A9">
        <w:rPr>
          <w:rStyle w:val="FootnoteReference"/>
        </w:rPr>
        <w:footnoteReference w:id="10"/>
      </w:r>
      <w:r w:rsidRPr="004D08A9">
        <w:t xml:space="preserve">, qu’il considère comme un compromis pour maintenir la dimension sociale dans la stratégie de relance. Plusieurs initiatives législatives et non législatives ne peuvent être retardées ou reportées, car elles constituent les piliers de l’agenda social. Il s’agit notamment de la transposition des directives adoptées, conformément au calendrier convenu (directives relatives à l’équilibre entre vie professionnelle et vie privée, au détachement de travailleurs, et à la transparence et la prévisibilité des conditions de travail). La Commission a également confirmé toutes les initiatives susceptibles de stimuler une reprise équitable et socialement durable, notamment en ce qui concerne la transparence des rémunérations, le salaire minimum, la fiscalité équitable, l’emploi des jeunes, le régime européen de réassurance chômage, la stratégie en matière de compétences, l’éducation numérique, le travail via une </w:t>
      </w:r>
      <w:proofErr w:type="spellStart"/>
      <w:r w:rsidRPr="004D08A9">
        <w:t>plateforme</w:t>
      </w:r>
      <w:proofErr w:type="spellEnd"/>
      <w:r w:rsidRPr="004D08A9">
        <w:t xml:space="preserve"> et les règles de gouvernance économique de l’UE. En revanche, le programme de travail ne prévoit pas l’actualisation de la réglementation en matière de santé et de sécurité au travail par des mesures de prévention efficaces sur les lieux de travail. </w:t>
      </w:r>
    </w:p>
    <w:p w:rsidR="004B0171" w:rsidRPr="004D08A9" w:rsidRDefault="004B0171">
      <w:pPr>
        <w:spacing w:line="288" w:lineRule="auto"/>
        <w:ind w:left="709" w:hanging="709"/>
        <w:jc w:val="both"/>
        <w:rPr>
          <w:sz w:val="22"/>
          <w:szCs w:val="22"/>
        </w:rPr>
      </w:pPr>
    </w:p>
    <w:p w:rsidR="004B0171" w:rsidRPr="004D08A9" w:rsidRDefault="00B11494" w:rsidP="00B2380D">
      <w:pPr>
        <w:pStyle w:val="Heading3"/>
      </w:pPr>
      <w:r w:rsidRPr="004D08A9">
        <w:t xml:space="preserve">Un plan solide de relance sociale implique également un meilleur accès aux syndicats et une meilleure protection. Il convient de soutenir la négociation collective et la démocratie sur le lieu de travail. L’UE et ses États membres doivent aider les partenaires sociaux à accroître sensiblement le taux de couverture des négociations collectives. </w:t>
      </w:r>
    </w:p>
    <w:p w:rsidR="004B0171" w:rsidRPr="004D08A9" w:rsidRDefault="004B0171">
      <w:pPr>
        <w:spacing w:line="288" w:lineRule="auto"/>
        <w:ind w:left="709" w:hanging="709"/>
        <w:jc w:val="both"/>
        <w:rPr>
          <w:sz w:val="22"/>
          <w:szCs w:val="22"/>
        </w:rPr>
      </w:pPr>
    </w:p>
    <w:p w:rsidR="00B72F60" w:rsidRPr="004D08A9" w:rsidRDefault="00B91836" w:rsidP="00B2380D">
      <w:pPr>
        <w:pStyle w:val="Heading3"/>
      </w:pPr>
      <w:r w:rsidRPr="004D08A9">
        <w:t xml:space="preserve">La dimension de genre doit être prise en compte. La récession économique causée par l’actuelle épidémie de COVID-19 a des conséquences importantes sur l’égalité entre les femmes et les hommes, tant pendant la crise que lors de la reprise. Par rapport aux récessions «ordinaires», qui touchent plus durement l’emploi des hommes, la diminution de l’emploi liée aux mesures de distanciation sociale a une incidence considérable sur les secteurs à prédominance féminine. En outre, les fermetures d’écoles </w:t>
      </w:r>
      <w:r w:rsidRPr="004D08A9">
        <w:lastRenderedPageBreak/>
        <w:t xml:space="preserve">et de centres d’accueil de jour ont augmenté considérablement les besoins en matière de garde d’enfants, ce qui a un impact particulièrement important sur les mères qui travaillent. Les effets de la crise sur les mères qui travaillent risquent de perdurer, étant donné la valeur de leur expérience sur le marché du travail. </w:t>
      </w:r>
    </w:p>
    <w:p w:rsidR="00026E67" w:rsidRPr="004D08A9" w:rsidRDefault="00026E67">
      <w:pPr>
        <w:spacing w:line="288" w:lineRule="auto"/>
        <w:ind w:left="709" w:hanging="709"/>
        <w:jc w:val="both"/>
        <w:rPr>
          <w:b/>
          <w:i/>
          <w:sz w:val="22"/>
          <w:szCs w:val="22"/>
        </w:rPr>
      </w:pPr>
    </w:p>
    <w:p w:rsidR="00A22A13" w:rsidRPr="004D08A9" w:rsidRDefault="00210375" w:rsidP="00526A32">
      <w:pPr>
        <w:pStyle w:val="Heading2"/>
        <w:keepNext/>
        <w:keepLines/>
        <w:rPr>
          <w:b/>
        </w:rPr>
      </w:pPr>
      <w:r w:rsidRPr="004D08A9">
        <w:rPr>
          <w:b/>
        </w:rPr>
        <w:t>Systèmes de santé</w:t>
      </w:r>
    </w:p>
    <w:p w:rsidR="00A22A13" w:rsidRPr="004D08A9" w:rsidRDefault="00A22A13" w:rsidP="00526A32">
      <w:pPr>
        <w:keepNext/>
        <w:keepLines/>
        <w:spacing w:line="288" w:lineRule="auto"/>
        <w:ind w:left="709" w:hanging="709"/>
        <w:jc w:val="both"/>
        <w:rPr>
          <w:b/>
          <w:i/>
          <w:sz w:val="22"/>
          <w:szCs w:val="22"/>
        </w:rPr>
      </w:pPr>
    </w:p>
    <w:p w:rsidR="00D43001" w:rsidRPr="004D08A9" w:rsidRDefault="00A22A13" w:rsidP="00B2380D">
      <w:pPr>
        <w:pStyle w:val="Heading3"/>
      </w:pPr>
      <w:r w:rsidRPr="004D08A9">
        <w:t>Enfin, et surtout, l’un des principaux enseignements de la crise du coronavirus est que les systèmes de santé ont besoin d’être renforcés dans presque tous les pays européens, en insistant avant tout sur la prévention. Dans l’ensemble de l’Europe, l’incidence du coronavirus soumet ces systèmes à des tensions extrêmes; certains pays sont davantage touchés que d’autres, et les pays sont inégalement pourvus, pour ce qui est du personnel médical (médecins et infirmières), des professionnels hautement qualifiés, des équipements médicaux et de la capacité hospitalière. Si les soins de santé relèvent de la compétence des États membres, il n’en reste pas moins que la propagation du virus ne connaît pas de frontières. Elle touche la totalité de l’Europe, tant à l’intérieur qu’à l’extérieur de nos frontières, avec des conséquences sanitaires, sociales et économiques qui imposent d’adopter des réponses communes au niveau européen.</w:t>
      </w:r>
    </w:p>
    <w:p w:rsidR="00D43001" w:rsidRPr="004D08A9" w:rsidRDefault="00D43001">
      <w:pPr>
        <w:spacing w:line="288" w:lineRule="auto"/>
        <w:ind w:left="709" w:hanging="709"/>
        <w:jc w:val="both"/>
        <w:rPr>
          <w:bCs/>
          <w:iCs/>
          <w:sz w:val="22"/>
          <w:szCs w:val="22"/>
        </w:rPr>
      </w:pPr>
    </w:p>
    <w:p w:rsidR="00D43001" w:rsidRPr="004D08A9" w:rsidRDefault="00A22A13" w:rsidP="00B2380D">
      <w:pPr>
        <w:pStyle w:val="Heading3"/>
      </w:pPr>
      <w:r w:rsidRPr="004D08A9">
        <w:t>La crise du coronavirus a révélé la dépendance de l’UE à l’égard des importations de produits médicaux en provenance de pays tiers. Il sera nécessaire de procéder à des investissements dans les services de protection de la santé, de soins de santé et de soins de longue durée, ainsi que dans les politiques de santé préventive et en matière de santé et de sécurité au travail, dans le cadre d’une approche fondée sur le cycle de vie, avec le soutien des institutions de l’Union.</w:t>
      </w:r>
    </w:p>
    <w:p w:rsidR="00D43001" w:rsidRPr="004D08A9" w:rsidRDefault="00D43001">
      <w:pPr>
        <w:spacing w:line="288" w:lineRule="auto"/>
        <w:ind w:left="709" w:hanging="709"/>
        <w:jc w:val="both"/>
        <w:rPr>
          <w:bCs/>
          <w:iCs/>
          <w:sz w:val="22"/>
          <w:szCs w:val="22"/>
        </w:rPr>
      </w:pPr>
    </w:p>
    <w:p w:rsidR="00A22A13" w:rsidRPr="004D08A9" w:rsidRDefault="00A22A13" w:rsidP="00B2380D">
      <w:pPr>
        <w:pStyle w:val="Heading3"/>
        <w:rPr>
          <w:b/>
          <w:i/>
        </w:rPr>
      </w:pPr>
      <w:r w:rsidRPr="004D08A9">
        <w:t>La crise du coronavirus fait clairement apparaître que certaines multinationales pharmaceutiques disposent d’un pouvoir considérable. Si l’on veut renforcer l’indépendance de l’industrie pharmaceutique, il convient également de créer un vaste fonds européen de recherche pour le développement de nouveaux médicaments et de vaccins. Les institutions européennes devraient être dotées de l’autorité nécessaire pour coordonner l’approvisionnement, la distribution et le prix des équipements médicaux et de protection essentiels au sein du marché unique.</w:t>
      </w:r>
    </w:p>
    <w:p w:rsidR="00A22A13" w:rsidRPr="004D08A9" w:rsidRDefault="00A22A13">
      <w:pPr>
        <w:spacing w:line="288" w:lineRule="auto"/>
        <w:ind w:left="709" w:hanging="709"/>
        <w:jc w:val="both"/>
        <w:rPr>
          <w:b/>
          <w:bCs/>
          <w:i/>
          <w:iCs/>
          <w:sz w:val="22"/>
          <w:szCs w:val="22"/>
        </w:rPr>
      </w:pPr>
    </w:p>
    <w:p w:rsidR="00B76E60" w:rsidRPr="004D08A9" w:rsidRDefault="00B76E60" w:rsidP="00526A32">
      <w:pPr>
        <w:pStyle w:val="Heading2"/>
        <w:keepNext/>
        <w:keepLines/>
        <w:rPr>
          <w:b/>
        </w:rPr>
      </w:pPr>
      <w:r w:rsidRPr="004D08A9">
        <w:rPr>
          <w:b/>
        </w:rPr>
        <w:t>Relations internationales</w:t>
      </w:r>
    </w:p>
    <w:p w:rsidR="00B76E60" w:rsidRPr="004D08A9" w:rsidRDefault="00B76E60" w:rsidP="00526A32">
      <w:pPr>
        <w:keepNext/>
        <w:keepLines/>
        <w:spacing w:line="288" w:lineRule="auto"/>
        <w:ind w:left="567" w:hanging="567"/>
        <w:jc w:val="both"/>
        <w:rPr>
          <w:sz w:val="22"/>
          <w:szCs w:val="22"/>
        </w:rPr>
      </w:pPr>
    </w:p>
    <w:p w:rsidR="004456E0" w:rsidRPr="004D08A9" w:rsidRDefault="00323DEA" w:rsidP="00B2380D">
      <w:pPr>
        <w:pStyle w:val="Heading3"/>
      </w:pPr>
      <w:r w:rsidRPr="004D08A9">
        <w:t>L’Union européenne se fonde sur des valeurs européennes communes qui ne sont en aucun cas négociables</w:t>
      </w:r>
      <w:r w:rsidRPr="004D08A9">
        <w:rPr>
          <w:rStyle w:val="FootnoteReference"/>
        </w:rPr>
        <w:footnoteReference w:id="11"/>
      </w:r>
      <w:r w:rsidRPr="004D08A9">
        <w:t>, à savoir le respect de la dignité humaine et des droits de l’homme, la liberté, la démocratie, l’égalité et l’état de droit. Ces valeurs ne sauraient être oubliées lorsque l’Union et ses États membres sont confrontés à une situation d’urgence et aux problèmes économiques et sociaux qu’elle peut causer. S’il convient d’apporter à la crise actuelle une réponse rapide, qui justifie certaines mesures exceptionnelles et limitées dans le temps, celles-ci ne sauraient aller à l’encontre de l’état de droit ni mettre en péril la démocratie, la séparation des pouvoirs et les droits fondamentaux des citoyens européens. Le CESE insiste sur le fait que toutes les mesures stratégiques prises à cet égard doivent être pleinement conformes à nos valeurs communes, telles qu’énoncées à l’article 2 du traité sur l’Union européenne.</w:t>
      </w:r>
    </w:p>
    <w:p w:rsidR="004456E0" w:rsidRPr="004D08A9" w:rsidRDefault="004456E0">
      <w:pPr>
        <w:spacing w:line="288" w:lineRule="auto"/>
        <w:ind w:left="709" w:hanging="709"/>
        <w:jc w:val="both"/>
      </w:pPr>
    </w:p>
    <w:p w:rsidR="004456E0" w:rsidRPr="004D08A9" w:rsidRDefault="00B76E60" w:rsidP="00B2380D">
      <w:pPr>
        <w:pStyle w:val="Heading3"/>
      </w:pPr>
      <w:r w:rsidRPr="004D08A9">
        <w:lastRenderedPageBreak/>
        <w:t>La crise du coronavirus a montré que le libre-échange international n’offre aucune garantie s’agissant de la sécurité des approvisionnements, y compris lorsqu’il existe des stocks de produits alimentaires, sanitaires et industriels. À cela s’ajoute le manque de transparence et de traçabilité.</w:t>
      </w:r>
    </w:p>
    <w:p w:rsidR="004456E0" w:rsidRPr="004D08A9" w:rsidRDefault="004456E0">
      <w:pPr>
        <w:spacing w:line="288" w:lineRule="auto"/>
        <w:ind w:left="709" w:hanging="709"/>
        <w:jc w:val="both"/>
        <w:rPr>
          <w:sz w:val="22"/>
          <w:szCs w:val="22"/>
        </w:rPr>
      </w:pPr>
    </w:p>
    <w:p w:rsidR="004456E0" w:rsidRPr="004D08A9" w:rsidRDefault="004456E0" w:rsidP="00B2380D">
      <w:pPr>
        <w:pStyle w:val="Heading3"/>
      </w:pPr>
      <w:r w:rsidRPr="004D08A9">
        <w:tab/>
        <w:t>Certaines entreprises européennes qui ont développé des capacités industrielles sur le sol de pays tiers devraient être encouragées à transférer cette capacité vers l’UE. Relocaliser des activités, aussi bien dans l’industrie et l’agriculture que dans les services, devrait permettre d’instaurer une plus grande autonomie vis-à-vis des marchés internationaux, de reprendre le contrôle des méthodes de production et de lancer une transition environnementale et sociale des activités. Dans un tel contexte, les entreprises concernées pourraient recevoir des aides financières des gouvernements des États membres, sans que s’appliquent les règles en matière d’aides d’État.</w:t>
      </w:r>
    </w:p>
    <w:p w:rsidR="00252343" w:rsidRPr="004D08A9" w:rsidRDefault="00252343">
      <w:pPr>
        <w:spacing w:line="288" w:lineRule="auto"/>
        <w:ind w:left="709" w:hanging="709"/>
        <w:jc w:val="both"/>
        <w:rPr>
          <w:sz w:val="22"/>
          <w:szCs w:val="22"/>
        </w:rPr>
      </w:pPr>
    </w:p>
    <w:p w:rsidR="004456E0" w:rsidRPr="004D08A9" w:rsidRDefault="00B76E60" w:rsidP="00B2380D">
      <w:pPr>
        <w:pStyle w:val="Heading3"/>
      </w:pPr>
      <w:r w:rsidRPr="004D08A9">
        <w:t xml:space="preserve">La crise a également mis en lumière les risques importants liés à la dépendance de l’UE à l’égard de la Chine pour une grande partie de la production, en particulier dans le domaine médical, par exemple pour les équipements de protection. Pour renforcer les systèmes de santé dans presque tous les pays européens, il est crucial de réduire cette dépendance en ce qui concerne les produits essentiels. Cela peut se faire en augmentant leur production dans l’Union européenne (chaîne de production/de distribution de l’UE), et en développant des capacités de production en coopération avec d’autres pays, par exemple africains (chaîne de production/de distribution </w:t>
      </w:r>
      <w:proofErr w:type="spellStart"/>
      <w:r w:rsidRPr="004D08A9">
        <w:t>UE-Afrique</w:t>
      </w:r>
      <w:proofErr w:type="spellEnd"/>
      <w:r w:rsidRPr="004D08A9">
        <w:t>). La valeur ajoutée de cette démarche réside dans le fait que même les pays les moins développés seraient alors en mesure de développer de nouvelles activités économiques et de renforcer leurs soins de santé.</w:t>
      </w:r>
    </w:p>
    <w:p w:rsidR="004456E0" w:rsidRPr="004D08A9" w:rsidRDefault="004456E0">
      <w:pPr>
        <w:spacing w:line="288" w:lineRule="auto"/>
        <w:ind w:left="709" w:hanging="709"/>
        <w:jc w:val="both"/>
        <w:rPr>
          <w:sz w:val="22"/>
          <w:szCs w:val="22"/>
        </w:rPr>
      </w:pPr>
    </w:p>
    <w:p w:rsidR="002D2BD6" w:rsidRPr="004D08A9" w:rsidRDefault="00785C57" w:rsidP="00B2380D">
      <w:pPr>
        <w:pStyle w:val="Heading3"/>
      </w:pPr>
      <w:r w:rsidRPr="004D08A9">
        <w:t>Il serait souhaitable que le monde d’après la pandémie voie la création d’un nouveau système de relations internationales, d’économie mondiale et de solidarité, reposant sur l’engagement de partager la richesse mondiale et de sauver des vies, ainsi que de protéger les acquis dans le domaine de la santé, de la science, de la vie intellectuelle et du développement industriel. L’UE devrait jouer un rôle de premier plan dans ce nouveau système de relations internationales, fondé sur la solidarité et la coopération au développement. En outre, elle devrait maintenir et, le cas échéant, augmenter le niveau de ses engagements en matière de coopération au développement.</w:t>
      </w:r>
    </w:p>
    <w:p w:rsidR="004456E0" w:rsidRPr="004D08A9" w:rsidRDefault="004456E0">
      <w:pPr>
        <w:spacing w:line="288" w:lineRule="auto"/>
        <w:ind w:left="709" w:hanging="709"/>
        <w:jc w:val="both"/>
        <w:rPr>
          <w:sz w:val="22"/>
          <w:szCs w:val="22"/>
        </w:rPr>
      </w:pPr>
    </w:p>
    <w:p w:rsidR="004456E0" w:rsidRPr="004D08A9" w:rsidRDefault="00785C57" w:rsidP="00B2380D">
      <w:pPr>
        <w:pStyle w:val="Heading3"/>
      </w:pPr>
      <w:r w:rsidRPr="004D08A9">
        <w:t>Garantir des conditions de concurrence équitable dans l’économie mondialisée peut mettre un terme, d’une part, à l’exploitation des travailleurs et, de l’autre, aux avantages excessifs dont bénéficient certaines entreprises. Intégrer les normes de l’OIT et du développement durable dans les règles de l’OMC et des autres agences connexes des Nations unies pourrait contribuer de manière significative à la construction d’un nouvel ordre économique équitable et à une mondialisation juste et intelligente. Il convient d’adapter les règles en conséquence et de les utiliser de manière plus cohérente à l’avenir afin de canaliser l’ensemble des ressources et du personnel disponibles pour apporter de l’aide là où c’est le plus nécessaire.</w:t>
      </w:r>
    </w:p>
    <w:p w:rsidR="004456E0" w:rsidRPr="004D08A9" w:rsidRDefault="004456E0">
      <w:pPr>
        <w:spacing w:line="288" w:lineRule="auto"/>
        <w:ind w:left="709" w:hanging="709"/>
        <w:jc w:val="both"/>
        <w:rPr>
          <w:sz w:val="22"/>
          <w:szCs w:val="22"/>
        </w:rPr>
      </w:pPr>
    </w:p>
    <w:p w:rsidR="00A6210A" w:rsidRPr="004D08A9" w:rsidRDefault="00785C57" w:rsidP="00B2380D">
      <w:pPr>
        <w:pStyle w:val="Heading3"/>
      </w:pPr>
      <w:r w:rsidRPr="004D08A9">
        <w:t>Toute atteinte aux droits fondamentaux doit être justifiée de manière objective et il convient de prévoir des clauses de limitation dans le temps. Il est essentiel de garantir, partout dans le monde, un retour à la normalité et à la totalité des principes démocratiques fondamentaux dans les plus brefs délais possibles. La limitation des droits de l’homme, tels que le droit de réunion, la liberté de la presse ou la vie privée, entre autres, ne saurait en aucun cas devenir la «nouvelle norme».</w:t>
      </w:r>
    </w:p>
    <w:p w:rsidR="00A6210A" w:rsidRPr="004D08A9" w:rsidRDefault="00A6210A">
      <w:pPr>
        <w:spacing w:line="288" w:lineRule="auto"/>
        <w:ind w:left="709" w:hanging="709"/>
        <w:jc w:val="both"/>
        <w:rPr>
          <w:sz w:val="22"/>
          <w:szCs w:val="22"/>
        </w:rPr>
      </w:pPr>
    </w:p>
    <w:p w:rsidR="00A6210A" w:rsidRPr="004D08A9" w:rsidRDefault="00A6210A" w:rsidP="004D08A9">
      <w:pPr>
        <w:pStyle w:val="Heading3"/>
        <w:keepNext/>
        <w:keepLines/>
      </w:pPr>
      <w:r w:rsidRPr="004D08A9">
        <w:lastRenderedPageBreak/>
        <w:t>Il est nécessaire de relancer le rôle stratégique et géopolitique que peut jouer l’UE dans la promotion des processus de paix mondiaux, afin de réactiver les perspectives de développement économique dans le voisinage de l’Union – Balkans occidentaux, pays euroméditerranéens et partenaires orientaux – ainsi que dans les régions déchirées par un conflit.</w:t>
      </w:r>
    </w:p>
    <w:p w:rsidR="00A6210A" w:rsidRPr="004D08A9" w:rsidRDefault="00A6210A">
      <w:pPr>
        <w:spacing w:line="288" w:lineRule="auto"/>
        <w:ind w:left="709" w:hanging="709"/>
        <w:jc w:val="both"/>
        <w:rPr>
          <w:sz w:val="22"/>
          <w:szCs w:val="22"/>
        </w:rPr>
      </w:pPr>
    </w:p>
    <w:p w:rsidR="00785C57" w:rsidRPr="004D08A9" w:rsidRDefault="00A6210A" w:rsidP="00B2380D">
      <w:pPr>
        <w:pStyle w:val="Heading4"/>
      </w:pPr>
      <w:r w:rsidRPr="004D08A9">
        <w:t xml:space="preserve">À cet égard, la région euroméditerranéenne et les Balkans occidentaux doivent redevenir un espace de développement, comme c’était le cas par le passé, lorsqu’ils se trouvaient au centre des échanges de personnes, de biens et d’idées. Ces régions doivent par conséquent être au cœur d’une politique stratégique européenne d’intégration et d’interconnexion dans le domaine des transports et des échanges commerciaux et culturels, fondée sur une stratégie </w:t>
      </w:r>
      <w:proofErr w:type="spellStart"/>
      <w:r w:rsidRPr="004D08A9">
        <w:t>macrorégionale</w:t>
      </w:r>
      <w:proofErr w:type="spellEnd"/>
      <w:r w:rsidRPr="004D08A9">
        <w:t xml:space="preserve"> spécifique et conçue à cet effet. Pour favoriser un tel contexte, il convient de donner un nouvel élan aux stratégies </w:t>
      </w:r>
      <w:proofErr w:type="spellStart"/>
      <w:r w:rsidRPr="004D08A9">
        <w:t>macrorégionales</w:t>
      </w:r>
      <w:proofErr w:type="spellEnd"/>
      <w:r w:rsidRPr="004D08A9">
        <w:t xml:space="preserve"> en Méditerranée et à la stratégie urbaine européenne.</w:t>
      </w:r>
    </w:p>
    <w:p w:rsidR="00A6210A" w:rsidRPr="004D08A9" w:rsidRDefault="00A6210A">
      <w:pPr>
        <w:spacing w:line="288" w:lineRule="auto"/>
        <w:ind w:left="709" w:hanging="709"/>
        <w:jc w:val="both"/>
        <w:rPr>
          <w:sz w:val="22"/>
          <w:szCs w:val="22"/>
        </w:rPr>
      </w:pPr>
    </w:p>
    <w:p w:rsidR="00785C57" w:rsidRPr="004D08A9" w:rsidRDefault="00785C57" w:rsidP="00526A32">
      <w:pPr>
        <w:pStyle w:val="Heading2"/>
        <w:keepNext/>
        <w:keepLines/>
        <w:rPr>
          <w:b/>
        </w:rPr>
      </w:pPr>
      <w:r w:rsidRPr="004D08A9">
        <w:rPr>
          <w:b/>
        </w:rPr>
        <w:t>Migration et ère post-COVID-19</w:t>
      </w:r>
    </w:p>
    <w:p w:rsidR="00785C57" w:rsidRPr="004D08A9" w:rsidRDefault="00785C57" w:rsidP="00526A32">
      <w:pPr>
        <w:pStyle w:val="Heading1"/>
        <w:keepNext/>
        <w:keepLines/>
        <w:numPr>
          <w:ilvl w:val="0"/>
          <w:numId w:val="0"/>
        </w:numPr>
        <w:rPr>
          <w:kern w:val="0"/>
        </w:rPr>
      </w:pPr>
    </w:p>
    <w:p w:rsidR="00785C57" w:rsidRPr="004D08A9" w:rsidRDefault="00785C57" w:rsidP="00B2380D">
      <w:pPr>
        <w:pStyle w:val="Heading3"/>
      </w:pPr>
      <w:r w:rsidRPr="004D08A9">
        <w:t>Avec l’apparition de la pandémie de COVID-19, l’immense tragédie qui s’en est suivie pour les systèmes de santé nationaux et l’effondrement de l’économie dans tous les pays, la problématique migratoire semble avoir disparu des radars et être passée à l’arrière-plan, avec une certaine indifférence de l’opinion publique. Les demandeurs d’asile ne peuvent être abandonnés en raison de la crise actuelle. Les droits de protection de base sont au cœur des valeurs européennes et ne sauraient être balayés d’un revers de main lorsqu’ils sont dérangeants. Il convient de remettre en place les mesures suivantes:</w:t>
      </w:r>
    </w:p>
    <w:p w:rsidR="00216655" w:rsidRPr="004D08A9" w:rsidRDefault="00216655" w:rsidP="00B2380D">
      <w:pPr>
        <w:spacing w:line="288" w:lineRule="auto"/>
        <w:rPr>
          <w:lang w:eastAsia="en-US"/>
        </w:rPr>
      </w:pPr>
    </w:p>
    <w:p w:rsidR="00785C57" w:rsidRPr="004D08A9" w:rsidRDefault="00785C57">
      <w:pPr>
        <w:pStyle w:val="Heading1"/>
        <w:numPr>
          <w:ilvl w:val="0"/>
          <w:numId w:val="21"/>
        </w:numPr>
        <w:ind w:left="1066" w:hanging="357"/>
        <w:rPr>
          <w:kern w:val="0"/>
        </w:rPr>
      </w:pPr>
      <w:r w:rsidRPr="004D08A9">
        <w:t>rétablir les procédures d’obtention des titres de séjour et de reconnaissance du droit d’asile, dans presque tous les pays européens;</w:t>
      </w:r>
    </w:p>
    <w:p w:rsidR="00785C57" w:rsidRPr="004D08A9" w:rsidRDefault="00785C57">
      <w:pPr>
        <w:pStyle w:val="Heading1"/>
        <w:numPr>
          <w:ilvl w:val="0"/>
          <w:numId w:val="21"/>
        </w:numPr>
        <w:ind w:left="1066" w:hanging="357"/>
        <w:rPr>
          <w:bCs/>
          <w:kern w:val="0"/>
        </w:rPr>
      </w:pPr>
      <w:r w:rsidRPr="004D08A9">
        <w:t>apporter des solutions à la situation sanitaire de surpopulation dans les centres d’accueil de migrants;</w:t>
      </w:r>
    </w:p>
    <w:p w:rsidR="00785C57" w:rsidRPr="004D08A9" w:rsidRDefault="00785C57">
      <w:pPr>
        <w:pStyle w:val="Heading1"/>
        <w:numPr>
          <w:ilvl w:val="0"/>
          <w:numId w:val="21"/>
        </w:numPr>
        <w:ind w:left="1066" w:hanging="357"/>
        <w:rPr>
          <w:kern w:val="0"/>
        </w:rPr>
      </w:pPr>
      <w:r w:rsidRPr="004D08A9">
        <w:t>lutter contre l’insécurité de l’emploi (qui a déjà conduit à une réduction, si ce n’est une suspension totale, des «transferts de fonds», souvent la seule source de subsistance des familles de migrants restées dans les pays d’origine);</w:t>
      </w:r>
    </w:p>
    <w:p w:rsidR="00785C57" w:rsidRPr="004D08A9" w:rsidRDefault="00785C57">
      <w:pPr>
        <w:pStyle w:val="Heading1"/>
        <w:numPr>
          <w:ilvl w:val="0"/>
          <w:numId w:val="21"/>
        </w:numPr>
        <w:ind w:left="1066" w:hanging="357"/>
        <w:rPr>
          <w:kern w:val="0"/>
        </w:rPr>
      </w:pPr>
      <w:r w:rsidRPr="004D08A9">
        <w:t>régulariser les migrants qui travaillent dans le domaine des soins à la personne ou le secteur agricole;</w:t>
      </w:r>
      <w:r w:rsidR="00E61C24" w:rsidRPr="004D08A9">
        <w:t xml:space="preserve">  </w:t>
      </w:r>
    </w:p>
    <w:p w:rsidR="00785C57" w:rsidRPr="004D08A9" w:rsidRDefault="00785C57">
      <w:pPr>
        <w:pStyle w:val="Heading1"/>
        <w:numPr>
          <w:ilvl w:val="0"/>
          <w:numId w:val="21"/>
        </w:numPr>
        <w:ind w:left="1066" w:hanging="357"/>
        <w:rPr>
          <w:kern w:val="0"/>
        </w:rPr>
      </w:pPr>
      <w:r w:rsidRPr="004D08A9">
        <w:t>mettre sur pied un régime d’asile européen commun (RAEC) qui soit obligatoire, sûr et efficace pour tous les pays de l’UE, afin de partager rapidement les responsabilités communes;</w:t>
      </w:r>
    </w:p>
    <w:p w:rsidR="00785C57" w:rsidRPr="004D08A9" w:rsidRDefault="00785C57">
      <w:pPr>
        <w:pStyle w:val="Heading1"/>
        <w:numPr>
          <w:ilvl w:val="0"/>
          <w:numId w:val="21"/>
        </w:numPr>
        <w:ind w:left="1066" w:hanging="357"/>
        <w:rPr>
          <w:kern w:val="0"/>
        </w:rPr>
      </w:pPr>
      <w:r w:rsidRPr="004D08A9">
        <w:t>concevoir et mettre en place des voies de migration de la main-d’œuvre vers l’UE qui soient réalistes, légales, sûres et praticables;</w:t>
      </w:r>
    </w:p>
    <w:p w:rsidR="00785C57" w:rsidRPr="004D08A9" w:rsidRDefault="00785C57">
      <w:pPr>
        <w:pStyle w:val="Heading1"/>
        <w:numPr>
          <w:ilvl w:val="0"/>
          <w:numId w:val="21"/>
        </w:numPr>
        <w:ind w:left="1066" w:hanging="357"/>
        <w:rPr>
          <w:kern w:val="0"/>
        </w:rPr>
      </w:pPr>
      <w:r w:rsidRPr="004D08A9">
        <w:t>établir un dialogue permanent et efficace avec les pays d’origine des migrants afin de développer les structures et les cadres de communication;</w:t>
      </w:r>
    </w:p>
    <w:p w:rsidR="00785C57" w:rsidRPr="004D08A9" w:rsidRDefault="00785C57">
      <w:pPr>
        <w:pStyle w:val="Heading1"/>
        <w:numPr>
          <w:ilvl w:val="0"/>
          <w:numId w:val="21"/>
        </w:numPr>
        <w:ind w:left="1066" w:hanging="357"/>
        <w:rPr>
          <w:bCs/>
          <w:kern w:val="0"/>
        </w:rPr>
      </w:pPr>
      <w:r w:rsidRPr="004D08A9">
        <w:t xml:space="preserve">accroître le soutien économique et le support technique apportés à l’agence </w:t>
      </w:r>
      <w:proofErr w:type="spellStart"/>
      <w:r w:rsidRPr="004D08A9">
        <w:t>Frontex</w:t>
      </w:r>
      <w:proofErr w:type="spellEnd"/>
      <w:r w:rsidRPr="004D08A9">
        <w:t>;</w:t>
      </w:r>
    </w:p>
    <w:p w:rsidR="00785C57" w:rsidRPr="004D08A9" w:rsidRDefault="00785C57">
      <w:pPr>
        <w:pStyle w:val="Heading1"/>
        <w:numPr>
          <w:ilvl w:val="0"/>
          <w:numId w:val="21"/>
        </w:numPr>
        <w:ind w:left="1066" w:hanging="357"/>
        <w:rPr>
          <w:kern w:val="0"/>
        </w:rPr>
      </w:pPr>
      <w:r w:rsidRPr="004D08A9">
        <w:t>garantir, à court terme, un engagement à évaluer également la réaffectation de toutes les ressources dans le cadre budgétaire pluriannuel de l’UE pour la période 2021-2027.</w:t>
      </w:r>
    </w:p>
    <w:p w:rsidR="00137691" w:rsidRPr="004D08A9" w:rsidRDefault="00137691">
      <w:pPr>
        <w:spacing w:line="288" w:lineRule="auto"/>
        <w:rPr>
          <w:sz w:val="22"/>
          <w:szCs w:val="22"/>
        </w:rPr>
      </w:pPr>
    </w:p>
    <w:p w:rsidR="004C40CE" w:rsidRPr="004D08A9" w:rsidRDefault="004C40CE" w:rsidP="004D08A9">
      <w:pPr>
        <w:pStyle w:val="Heading1"/>
        <w:keepNext/>
        <w:keepLines/>
        <w:rPr>
          <w:b/>
        </w:rPr>
      </w:pPr>
      <w:r w:rsidRPr="004D08A9">
        <w:rPr>
          <w:b/>
        </w:rPr>
        <w:lastRenderedPageBreak/>
        <w:t>Plan de reconstruction</w:t>
      </w:r>
    </w:p>
    <w:p w:rsidR="001C495A" w:rsidRPr="004D08A9" w:rsidRDefault="001C495A" w:rsidP="004D08A9">
      <w:pPr>
        <w:keepNext/>
        <w:keepLines/>
        <w:spacing w:line="288" w:lineRule="auto"/>
        <w:jc w:val="both"/>
        <w:rPr>
          <w:b/>
          <w:sz w:val="22"/>
          <w:szCs w:val="22"/>
        </w:rPr>
      </w:pPr>
    </w:p>
    <w:p w:rsidR="00B66434" w:rsidRPr="004D08A9" w:rsidRDefault="00B66434" w:rsidP="004D08A9">
      <w:pPr>
        <w:pStyle w:val="Heading2"/>
        <w:keepNext/>
        <w:keepLines/>
      </w:pPr>
      <w:r w:rsidRPr="004D08A9">
        <w:t>Toutes les mesures décrites ci-dessus nécessiteront l’élaboration d’un nouveau système de gouvernance économique, comprenant des politiques stratégiques dans les domaines de l’industrie, de la compétitivité, de la politique sociale, de l’environnement et du commerce.</w:t>
      </w:r>
    </w:p>
    <w:p w:rsidR="001C495A" w:rsidRPr="004D08A9" w:rsidRDefault="001C495A">
      <w:pPr>
        <w:spacing w:line="288" w:lineRule="auto"/>
        <w:ind w:left="709" w:hanging="709"/>
        <w:jc w:val="both"/>
        <w:rPr>
          <w:sz w:val="22"/>
          <w:szCs w:val="22"/>
        </w:rPr>
      </w:pPr>
    </w:p>
    <w:p w:rsidR="001C495A" w:rsidRPr="004D08A9" w:rsidRDefault="00AE0849" w:rsidP="00B2380D">
      <w:pPr>
        <w:pStyle w:val="Heading2"/>
      </w:pPr>
      <w:r w:rsidRPr="004D08A9">
        <w:t>Promouvoir la réforme de la gouvernance économique de l’Union européenne, en révisant le pacte de stabilité et de croissance afin d’assurer simultanément la stabilité et la croissance.</w:t>
      </w:r>
    </w:p>
    <w:p w:rsidR="001C495A" w:rsidRPr="004D08A9" w:rsidRDefault="001C495A">
      <w:pPr>
        <w:spacing w:line="288" w:lineRule="auto"/>
        <w:ind w:left="709" w:hanging="709"/>
        <w:contextualSpacing/>
        <w:jc w:val="both"/>
        <w:rPr>
          <w:rFonts w:eastAsia="Times New Roman"/>
          <w:sz w:val="22"/>
          <w:szCs w:val="22"/>
        </w:rPr>
      </w:pPr>
    </w:p>
    <w:p w:rsidR="000D60E7" w:rsidRPr="004D08A9" w:rsidRDefault="00AE0849" w:rsidP="00B2380D">
      <w:pPr>
        <w:pStyle w:val="Heading2"/>
      </w:pPr>
      <w:r w:rsidRPr="004D08A9">
        <w:t xml:space="preserve">Sur la base de l’instrument de relance «Next </w:t>
      </w:r>
      <w:proofErr w:type="spellStart"/>
      <w:r w:rsidRPr="004D08A9">
        <w:t>generation</w:t>
      </w:r>
      <w:proofErr w:type="spellEnd"/>
      <w:r w:rsidRPr="004D08A9">
        <w:t xml:space="preserve"> EU», il sera nécessaire de garantir une augmentation progressive des ressources propres de l’UE au moyen de dispositifs pertinents et appropriés, qui pourront par exemple être choisis parmi les suivants: systèmes d’échange de quotas d’émission de l’UE, assiette commune consolidée pour l’impôt sur les sociétés (ACCIS), taxe sur le numérique, taxe sur les transactions financières, prélèvement sur le </w:t>
      </w:r>
      <w:r w:rsidR="00E61C24" w:rsidRPr="004D08A9">
        <w:t>CO</w:t>
      </w:r>
      <w:r w:rsidR="00E61C24" w:rsidRPr="004D08A9">
        <w:rPr>
          <w:vertAlign w:val="subscript"/>
        </w:rPr>
        <w:t>2</w:t>
      </w:r>
      <w:r w:rsidRPr="004D08A9">
        <w:t>, ou encore revenus du seigneuriage.</w:t>
      </w:r>
    </w:p>
    <w:p w:rsidR="00216655" w:rsidRPr="004D08A9" w:rsidRDefault="00216655">
      <w:pPr>
        <w:spacing w:line="288" w:lineRule="auto"/>
        <w:ind w:left="709" w:hanging="709"/>
        <w:contextualSpacing/>
        <w:jc w:val="both"/>
        <w:rPr>
          <w:lang w:eastAsia="nl-NL"/>
        </w:rPr>
      </w:pPr>
    </w:p>
    <w:p w:rsidR="001C495A" w:rsidRPr="004D08A9" w:rsidRDefault="000D60E7" w:rsidP="00B2380D">
      <w:pPr>
        <w:pStyle w:val="Heading2"/>
      </w:pPr>
      <w:r w:rsidRPr="004D08A9">
        <w:t>L’UE doit mettre en place d’urgence un mécanisme de coordination capable de neutraliser la planification fiscale agressive et de lutter, dans les 27 États membres, contre le phénomène de fraude fiscale, qui a entraîné une perte annuelle moyenne de 46 milliards d’euros de recettes fiscales pour les États membres de l’UE au cours de la période 2001-2016 (0,46 % du PIB)</w:t>
      </w:r>
      <w:r w:rsidR="00E60975" w:rsidRPr="004D08A9">
        <w:rPr>
          <w:rStyle w:val="FootnoteReference"/>
        </w:rPr>
        <w:footnoteReference w:id="12"/>
      </w:r>
      <w:r w:rsidR="001A68C0">
        <w:t>. Dans le même temps, l’UE </w:t>
      </w:r>
      <w:r w:rsidRPr="004D08A9">
        <w:t>doit activer une stratégie puissante pour lutter contre le blanchiment de capitaux, qui risque d’empoisonner le système de production de l’UE et de provoquer des distorsions au sein du marché unique en faussant les conditions de concurrence équitables.</w:t>
      </w:r>
    </w:p>
    <w:p w:rsidR="001C495A" w:rsidRPr="004D08A9" w:rsidRDefault="001C495A">
      <w:pPr>
        <w:spacing w:line="288" w:lineRule="auto"/>
        <w:ind w:left="709" w:hanging="709"/>
        <w:contextualSpacing/>
        <w:jc w:val="both"/>
        <w:rPr>
          <w:rFonts w:eastAsia="Times New Roman"/>
          <w:sz w:val="22"/>
          <w:szCs w:val="22"/>
        </w:rPr>
      </w:pPr>
    </w:p>
    <w:p w:rsidR="001C495A" w:rsidRPr="004D08A9" w:rsidRDefault="001C619C" w:rsidP="00B2380D">
      <w:pPr>
        <w:pStyle w:val="Heading2"/>
      </w:pPr>
      <w:r w:rsidRPr="004D08A9">
        <w:t>Il est important de préserver le modèle européen de droits, de normes et de politique des consommateurs. C’est ce qui rend l’Union européenne unique en son genre. Par exemple, dans le domaine de la numérisation, le code de déontologie de l’UE relatif à l’intelligence artificielle fait la distinction, pour l’approche où «l’humain reste aux commandes», entre la conception de l’UE et celle des autres régions du monde. Cette approche, fondée sur les libertés et droits fondamentaux, fait partie du modèle de l’UE et devrait être préservée, malgré le durcissement du climat concurrentiel qui se fait jour actuellement.</w:t>
      </w:r>
    </w:p>
    <w:p w:rsidR="001C495A" w:rsidRPr="004D08A9" w:rsidRDefault="001C495A">
      <w:pPr>
        <w:spacing w:line="288" w:lineRule="auto"/>
        <w:ind w:left="709" w:hanging="709"/>
        <w:contextualSpacing/>
        <w:jc w:val="both"/>
        <w:rPr>
          <w:rFonts w:eastAsia="Times New Roman"/>
          <w:sz w:val="22"/>
          <w:szCs w:val="22"/>
          <w:lang w:eastAsia="en-US"/>
        </w:rPr>
      </w:pPr>
    </w:p>
    <w:p w:rsidR="001C495A" w:rsidRPr="004D08A9" w:rsidRDefault="00CD15AC" w:rsidP="00B2380D">
      <w:pPr>
        <w:pStyle w:val="Heading2"/>
      </w:pPr>
      <w:r w:rsidRPr="004D08A9">
        <w:t>Il est nécessaire de tirer pleinement parti des nouveaux modèles d’entreprise plus durables qui naissent actuellement (liés à l’économie circulaire, l’économie du partage, l’économie sociale, etc.). Ces modèles économiques sont également caractéristiques du modèle sociétal de l’UE; ils permettent une double création de valeur, à savoir une valeur économique et une valeur sociale, tout en étant des instruments destinés à mettre en œuvre le pacte vert pour l’Europe et les objectifs de développement durable des Nations unies. Ces modèles d’entreprise offrent l’occasion d’aider l’économie à se redresser et à répondre en même temps aux questions de société. Dans ce contexte, le plan d’action de l’UE en faveur de l’économie circulaire jouera un rôle crucial, de même que le plan d’action de l’UE qui a été annoncé pour l’économie sociale (prévu pour le printemps 2021). Il convient de partager les exemples inspirants, tels que celui de l’alliance européenne des grappes d’entreprises (</w:t>
      </w:r>
      <w:proofErr w:type="spellStart"/>
      <w:r w:rsidRPr="004D08A9">
        <w:t>European</w:t>
      </w:r>
      <w:proofErr w:type="spellEnd"/>
      <w:r w:rsidRPr="004D08A9">
        <w:t xml:space="preserve"> Cluster Alliance).</w:t>
      </w:r>
    </w:p>
    <w:p w:rsidR="001C495A" w:rsidRPr="004D08A9" w:rsidRDefault="001C495A">
      <w:pPr>
        <w:spacing w:line="288" w:lineRule="auto"/>
        <w:ind w:left="709" w:hanging="709"/>
        <w:contextualSpacing/>
        <w:jc w:val="both"/>
        <w:rPr>
          <w:rFonts w:eastAsia="Times New Roman"/>
          <w:sz w:val="22"/>
          <w:szCs w:val="22"/>
          <w:lang w:eastAsia="en-US"/>
        </w:rPr>
      </w:pPr>
    </w:p>
    <w:p w:rsidR="001C495A" w:rsidRPr="004D08A9" w:rsidRDefault="00C053BA" w:rsidP="004D08A9">
      <w:pPr>
        <w:pStyle w:val="Heading2"/>
        <w:keepNext/>
        <w:keepLines/>
      </w:pPr>
      <w:r w:rsidRPr="004D08A9">
        <w:lastRenderedPageBreak/>
        <w:t xml:space="preserve">La numérisation constitue à la fois une occasion à saisir et un risque pour la relance. C’est dans le secteur de l’innovation que l’UE peut s’illustrer en première ligne, comme c’est le cas dans le domaine de la chaîne de blocs, où elle occupe une position de </w:t>
      </w:r>
      <w:r w:rsidR="00E61C24" w:rsidRPr="004D08A9">
        <w:t>chef</w:t>
      </w:r>
      <w:r w:rsidRPr="004D08A9">
        <w:t xml:space="preserve"> de file. La chaîne de blocs, en tant que technologie (sans la réduire au </w:t>
      </w:r>
      <w:proofErr w:type="spellStart"/>
      <w:r w:rsidRPr="004D08A9">
        <w:t>bitcoin</w:t>
      </w:r>
      <w:proofErr w:type="spellEnd"/>
      <w:r w:rsidRPr="004D08A9">
        <w:t xml:space="preserve">), est porteuse de valeurs démocratiques, offrant ainsi une transparence et une amélioration des structures de gouvernance. Toutefois, il convient de prendre en considération les risques inhérents à la numérisation, tels que l’accroissement du chômage, la marginalisation numérique et l’exclusion sociale. Et il faut trouver des moyens de tirer parti des possibilités qui s’offrent tout en les conciliant avec les risques, dans un contexte où l’Union cherche à rester compétitive sur la scène mondiale. </w:t>
      </w:r>
    </w:p>
    <w:p w:rsidR="001C495A" w:rsidRPr="004D08A9" w:rsidRDefault="001C495A">
      <w:pPr>
        <w:spacing w:line="288" w:lineRule="auto"/>
        <w:ind w:left="709" w:hanging="709"/>
        <w:contextualSpacing/>
        <w:jc w:val="both"/>
        <w:rPr>
          <w:rFonts w:eastAsia="Times New Roman"/>
          <w:sz w:val="22"/>
          <w:szCs w:val="22"/>
          <w:lang w:eastAsia="en-US"/>
        </w:rPr>
      </w:pPr>
    </w:p>
    <w:p w:rsidR="001C495A" w:rsidRPr="004D08A9" w:rsidRDefault="0076351E" w:rsidP="00B2380D">
      <w:pPr>
        <w:pStyle w:val="Heading2"/>
      </w:pPr>
      <w:r w:rsidRPr="004D08A9">
        <w:t xml:space="preserve">Une possibilité s’ouvre de promouvoir l’innovation sociale comme modèle de relance par la création conjointe, la </w:t>
      </w:r>
      <w:r w:rsidR="00E61C24" w:rsidRPr="004D08A9">
        <w:t>co-</w:t>
      </w:r>
      <w:r w:rsidRPr="004D08A9">
        <w:t xml:space="preserve">conception et la coproduction. Dans un contexte social complexe confronté à des défis de société majeurs, le seul moyen est de mobiliser toutes les ressources de la société, en travaillant d’une manière </w:t>
      </w:r>
      <w:proofErr w:type="spellStart"/>
      <w:r w:rsidRPr="004D08A9">
        <w:t>transsectorielle</w:t>
      </w:r>
      <w:proofErr w:type="spellEnd"/>
      <w:r w:rsidRPr="004D08A9">
        <w:t xml:space="preserve"> et pluridisciplinaire pour trouver des solutions. La société civile organisée joue un rôle de catalyseur en faveur de l’innovation sociale. Cette dynamique a contribué à la conception des systèmes de protection sociale qui ont permis de mettre en place de nouvelles politiques, de nouvelles structures, de nouveaux produits, de nouveaux services et de nouvelles méthodes de travail.</w:t>
      </w:r>
      <w:r w:rsidR="00E61C24" w:rsidRPr="004D08A9">
        <w:t xml:space="preserve"> </w:t>
      </w:r>
      <w:r w:rsidR="001A68C0">
        <w:t>La </w:t>
      </w:r>
      <w:r w:rsidRPr="004D08A9">
        <w:t>participation de la société civile est plus que jamais nécessaire, et la véritable innovation sociale ne peut avoir lieu qu’avec son engagement.</w:t>
      </w:r>
    </w:p>
    <w:p w:rsidR="001C495A" w:rsidRPr="004D08A9" w:rsidRDefault="001C495A">
      <w:pPr>
        <w:spacing w:line="288" w:lineRule="auto"/>
        <w:ind w:left="709" w:hanging="709"/>
        <w:contextualSpacing/>
        <w:jc w:val="both"/>
        <w:rPr>
          <w:rFonts w:eastAsia="Times New Roman"/>
          <w:sz w:val="22"/>
          <w:szCs w:val="22"/>
          <w:lang w:eastAsia="en-US"/>
        </w:rPr>
      </w:pPr>
    </w:p>
    <w:p w:rsidR="00C053BA" w:rsidRPr="004D08A9" w:rsidRDefault="00C053BA" w:rsidP="00B2380D">
      <w:pPr>
        <w:pStyle w:val="Heading2"/>
      </w:pPr>
      <w:r w:rsidRPr="004D08A9">
        <w:t>L’émergence d’un nouveau modèle sociétal?</w:t>
      </w:r>
      <w:r w:rsidRPr="004D08A9">
        <w:rPr>
          <w:b/>
          <w:bCs/>
        </w:rPr>
        <w:t xml:space="preserve"> </w:t>
      </w:r>
      <w:r w:rsidRPr="004D08A9">
        <w:t xml:space="preserve">La reprise ne se fera que s’il y a de la productivité, une relance budgétaire et une répartition des richesses. Peut-être est-il temps de réactiver le projet de «train de mesures sur les investissements sociaux», de travailler de manière proactive et préventive afin de réduire les coûts que la société devra supporter à l’avenir. Ainsi, l’UE devrait stimuler l’investissement dans les infrastructures sociales: i) l’éducation et la formation tout au long de la vie; </w:t>
      </w:r>
      <w:proofErr w:type="spellStart"/>
      <w:r w:rsidRPr="004D08A9">
        <w:t>ii</w:t>
      </w:r>
      <w:proofErr w:type="spellEnd"/>
      <w:r w:rsidRPr="004D08A9">
        <w:t xml:space="preserve">) les soins de santé, les soins de longue durée et l’aide sociale; </w:t>
      </w:r>
      <w:proofErr w:type="spellStart"/>
      <w:r w:rsidRPr="004D08A9">
        <w:t>iii</w:t>
      </w:r>
      <w:proofErr w:type="spellEnd"/>
      <w:r w:rsidRPr="004D08A9">
        <w:t>) le logement abordable</w:t>
      </w:r>
      <w:r w:rsidR="001258B8" w:rsidRPr="004D08A9">
        <w:rPr>
          <w:rStyle w:val="FootnoteReference"/>
        </w:rPr>
        <w:footnoteReference w:id="13"/>
      </w:r>
      <w:r w:rsidRPr="004D08A9">
        <w:t>. Tout cela va de pair avec la mise en œuvre du socle européen des droits sociaux à tous les niveaux, un système de suivi du Semestre européen qui repose sur les objectifs de développement durable,</w:t>
      </w:r>
      <w:r w:rsidR="001A68C0">
        <w:t xml:space="preserve"> le pacte vert pour l’Europe et </w:t>
      </w:r>
      <w:r w:rsidRPr="004D08A9">
        <w:t>une transition numérique équitable, fondée sur les valeurs de l’UE, qui pourrait constituer la base d’un n</w:t>
      </w:r>
      <w:r w:rsidR="001A68C0">
        <w:t>ouveau modèle sociétal de l’UE.</w:t>
      </w:r>
    </w:p>
    <w:p w:rsidR="00216655" w:rsidRPr="004D08A9" w:rsidRDefault="00216655">
      <w:pPr>
        <w:overflowPunct w:val="0"/>
        <w:autoSpaceDE w:val="0"/>
        <w:autoSpaceDN w:val="0"/>
        <w:adjustRightInd w:val="0"/>
        <w:spacing w:line="288" w:lineRule="auto"/>
        <w:jc w:val="center"/>
        <w:textAlignment w:val="baseline"/>
      </w:pPr>
      <w:r w:rsidRPr="004D08A9">
        <w:t>_____________</w:t>
      </w:r>
    </w:p>
    <w:p w:rsidR="00216655" w:rsidRPr="004D08A9" w:rsidRDefault="00216655" w:rsidP="00B2380D">
      <w:pPr>
        <w:spacing w:line="288" w:lineRule="auto"/>
      </w:pPr>
    </w:p>
    <w:p w:rsidR="00DF3E0A" w:rsidRPr="004D08A9" w:rsidRDefault="00FE7CD1" w:rsidP="00B2380D">
      <w:pPr>
        <w:spacing w:line="288" w:lineRule="auto"/>
        <w:jc w:val="both"/>
        <w:rPr>
          <w:b/>
          <w:bCs/>
          <w:i/>
          <w:iCs/>
          <w:sz w:val="22"/>
          <w:szCs w:val="22"/>
        </w:rPr>
      </w:pPr>
      <w:r w:rsidRPr="004D08A9">
        <w:br w:type="page"/>
      </w:r>
    </w:p>
    <w:p w:rsidR="004C40CE" w:rsidRPr="004D08A9" w:rsidRDefault="00060E2A" w:rsidP="00B2380D">
      <w:pPr>
        <w:spacing w:line="288" w:lineRule="auto"/>
        <w:rPr>
          <w:sz w:val="22"/>
          <w:szCs w:val="22"/>
        </w:rPr>
      </w:pPr>
      <w:r w:rsidRPr="004D08A9">
        <w:rPr>
          <w:b/>
          <w:bCs/>
          <w:sz w:val="22"/>
          <w:szCs w:val="22"/>
        </w:rPr>
        <w:lastRenderedPageBreak/>
        <w:t>Annexe 1</w:t>
      </w:r>
    </w:p>
    <w:p w:rsidR="0077218C" w:rsidRPr="004D08A9" w:rsidRDefault="0077218C" w:rsidP="00B2380D">
      <w:pPr>
        <w:spacing w:line="288" w:lineRule="auto"/>
        <w:rPr>
          <w:sz w:val="22"/>
          <w:szCs w:val="22"/>
        </w:rPr>
      </w:pPr>
    </w:p>
    <w:p w:rsidR="0077218C" w:rsidRPr="004D08A9" w:rsidRDefault="0077218C" w:rsidP="00B2380D">
      <w:pPr>
        <w:pStyle w:val="Kleurrijkelijst-accent11"/>
        <w:spacing w:line="288" w:lineRule="auto"/>
        <w:ind w:left="0"/>
        <w:jc w:val="both"/>
        <w:rPr>
          <w:rFonts w:ascii="Times New Roman" w:hAnsi="Times New Roman"/>
          <w:bCs/>
          <w:sz w:val="22"/>
        </w:rPr>
      </w:pPr>
    </w:p>
    <w:p w:rsidR="0077218C" w:rsidRPr="004D08A9" w:rsidRDefault="00D15E85" w:rsidP="00B2380D">
      <w:pPr>
        <w:pStyle w:val="Kleurrijkelijst-accent11"/>
        <w:spacing w:line="288" w:lineRule="auto"/>
        <w:ind w:left="0"/>
        <w:jc w:val="both"/>
        <w:rPr>
          <w:rFonts w:ascii="Times New Roman" w:hAnsi="Times New Roman"/>
          <w:bCs/>
          <w:sz w:val="22"/>
        </w:rPr>
      </w:pPr>
      <w:r w:rsidRPr="004D08A9">
        <w:rPr>
          <w:rFonts w:ascii="Times New Roman" w:hAnsi="Times New Roman"/>
          <w:bCs/>
          <w:sz w:val="22"/>
        </w:rPr>
        <w:t>Le tableau qui suit présente une enquête structurée sur les mesures qui ont été adoptées par l’UE au cours des trois derniers mois pour lutter contre la pandémie de COVID-19.</w:t>
      </w:r>
    </w:p>
    <w:p w:rsidR="004456E0" w:rsidRPr="004D08A9" w:rsidRDefault="004456E0" w:rsidP="00B2380D">
      <w:pPr>
        <w:pStyle w:val="Kleurrijkelijst-accent11"/>
        <w:spacing w:line="288" w:lineRule="auto"/>
        <w:ind w:left="0"/>
        <w:jc w:val="both"/>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838"/>
      </w:tblGrid>
      <w:tr w:rsidR="008521B3" w:rsidRPr="004D08A9" w:rsidTr="00E61C24">
        <w:tc>
          <w:tcPr>
            <w:tcW w:w="9634" w:type="dxa"/>
            <w:gridSpan w:val="4"/>
            <w:shd w:val="clear" w:color="auto" w:fill="auto"/>
          </w:tcPr>
          <w:p w:rsidR="0077218C" w:rsidRPr="004D08A9" w:rsidRDefault="0077218C" w:rsidP="00B2380D">
            <w:pPr>
              <w:spacing w:line="288" w:lineRule="auto"/>
              <w:jc w:val="center"/>
              <w:rPr>
                <w:rFonts w:eastAsia="Calibri"/>
                <w:b/>
                <w:bCs/>
                <w:sz w:val="22"/>
                <w:szCs w:val="22"/>
              </w:rPr>
            </w:pPr>
            <w:r w:rsidRPr="004D08A9">
              <w:rPr>
                <w:b/>
                <w:bCs/>
                <w:sz w:val="22"/>
                <w:szCs w:val="22"/>
              </w:rPr>
              <w:t>Type de mesures</w:t>
            </w:r>
          </w:p>
        </w:tc>
      </w:tr>
      <w:tr w:rsidR="008521B3" w:rsidRPr="004D08A9" w:rsidTr="00E61C24">
        <w:tc>
          <w:tcPr>
            <w:tcW w:w="2265" w:type="dxa"/>
            <w:shd w:val="clear" w:color="auto" w:fill="auto"/>
          </w:tcPr>
          <w:p w:rsidR="0077218C" w:rsidRPr="004D08A9" w:rsidRDefault="0077218C" w:rsidP="00B2380D">
            <w:pPr>
              <w:spacing w:line="288" w:lineRule="auto"/>
              <w:jc w:val="center"/>
              <w:rPr>
                <w:rFonts w:eastAsia="Calibri"/>
                <w:i/>
                <w:iCs/>
                <w:sz w:val="22"/>
                <w:szCs w:val="22"/>
              </w:rPr>
            </w:pPr>
            <w:r w:rsidRPr="004D08A9">
              <w:rPr>
                <w:i/>
                <w:iCs/>
                <w:sz w:val="22"/>
                <w:szCs w:val="22"/>
              </w:rPr>
              <w:t>Monétaires et de stabilisation</w:t>
            </w:r>
          </w:p>
        </w:tc>
        <w:tc>
          <w:tcPr>
            <w:tcW w:w="2265" w:type="dxa"/>
            <w:shd w:val="clear" w:color="auto" w:fill="auto"/>
          </w:tcPr>
          <w:p w:rsidR="0077218C" w:rsidRPr="004D08A9" w:rsidRDefault="0077218C" w:rsidP="00B2380D">
            <w:pPr>
              <w:spacing w:line="288" w:lineRule="auto"/>
              <w:jc w:val="center"/>
              <w:rPr>
                <w:rFonts w:eastAsia="Calibri"/>
                <w:i/>
                <w:iCs/>
                <w:sz w:val="22"/>
                <w:szCs w:val="22"/>
              </w:rPr>
            </w:pPr>
            <w:r w:rsidRPr="004D08A9">
              <w:rPr>
                <w:i/>
                <w:iCs/>
                <w:sz w:val="22"/>
                <w:szCs w:val="22"/>
              </w:rPr>
              <w:t>Budgétaires</w:t>
            </w:r>
          </w:p>
        </w:tc>
        <w:tc>
          <w:tcPr>
            <w:tcW w:w="2266" w:type="dxa"/>
            <w:shd w:val="clear" w:color="auto" w:fill="auto"/>
          </w:tcPr>
          <w:p w:rsidR="0077218C" w:rsidRPr="004D08A9" w:rsidRDefault="0077218C" w:rsidP="00B2380D">
            <w:pPr>
              <w:spacing w:line="288" w:lineRule="auto"/>
              <w:jc w:val="center"/>
              <w:rPr>
                <w:rFonts w:eastAsia="Calibri"/>
                <w:i/>
                <w:iCs/>
                <w:sz w:val="22"/>
                <w:szCs w:val="22"/>
              </w:rPr>
            </w:pPr>
            <w:r w:rsidRPr="004D08A9">
              <w:rPr>
                <w:i/>
                <w:iCs/>
                <w:sz w:val="22"/>
                <w:szCs w:val="22"/>
              </w:rPr>
              <w:t>Fondées sur des garanties et des crédits</w:t>
            </w:r>
          </w:p>
        </w:tc>
        <w:tc>
          <w:tcPr>
            <w:tcW w:w="2838" w:type="dxa"/>
            <w:shd w:val="clear" w:color="auto" w:fill="auto"/>
          </w:tcPr>
          <w:p w:rsidR="0077218C" w:rsidRPr="004D08A9" w:rsidRDefault="0077218C" w:rsidP="00B2380D">
            <w:pPr>
              <w:spacing w:line="288" w:lineRule="auto"/>
              <w:jc w:val="center"/>
              <w:rPr>
                <w:rFonts w:eastAsia="Calibri"/>
                <w:i/>
                <w:iCs/>
                <w:sz w:val="22"/>
                <w:szCs w:val="22"/>
              </w:rPr>
            </w:pPr>
            <w:r w:rsidRPr="004D08A9">
              <w:rPr>
                <w:i/>
                <w:iCs/>
                <w:sz w:val="22"/>
                <w:szCs w:val="22"/>
              </w:rPr>
              <w:t>Réglementaires et procédurales</w:t>
            </w:r>
          </w:p>
        </w:tc>
      </w:tr>
      <w:tr w:rsidR="008521B3" w:rsidRPr="004D08A9" w:rsidTr="00E61C24">
        <w:tc>
          <w:tcPr>
            <w:tcW w:w="2265"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Mécanisme européen de stabilité (MES): mesure de soutien dans le cadre de la crise pandémique: 240 milliards d’</w:t>
            </w:r>
            <w:proofErr w:type="spellStart"/>
            <w:r w:rsidRPr="004D08A9">
              <w:rPr>
                <w:sz w:val="16"/>
                <w:szCs w:val="16"/>
              </w:rPr>
              <w:t>EUR</w:t>
            </w:r>
            <w:proofErr w:type="spellEnd"/>
            <w:r w:rsidRPr="004D08A9">
              <w:rPr>
                <w:sz w:val="16"/>
                <w:szCs w:val="16"/>
              </w:rPr>
              <w:t>; prêt à la stabilité macroéconomique pour les pays de la zone euro visant à corriger leurs déséquilibres macroéconomiques; équivalent à 2 % du PIB de la zone euro</w:t>
            </w:r>
          </w:p>
        </w:tc>
        <w:tc>
          <w:tcPr>
            <w:tcW w:w="2265"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Initiative d’investissement; Initiative d’investissement Plus: initialement 37 milliards d’</w:t>
            </w:r>
            <w:proofErr w:type="spellStart"/>
            <w:r w:rsidRPr="004D08A9">
              <w:rPr>
                <w:sz w:val="16"/>
                <w:szCs w:val="16"/>
              </w:rPr>
              <w:t>EUR</w:t>
            </w:r>
            <w:proofErr w:type="spellEnd"/>
            <w:r w:rsidRPr="004D08A9">
              <w:rPr>
                <w:sz w:val="16"/>
                <w:szCs w:val="16"/>
              </w:rPr>
              <w:t>; réaffectation de fonds de la politique de cohésion pour les concentrer sur la réponse aux conséquences de la propagation du virus; en complément, 28 milliards d’</w:t>
            </w:r>
            <w:proofErr w:type="spellStart"/>
            <w:r w:rsidRPr="004D08A9">
              <w:rPr>
                <w:sz w:val="16"/>
                <w:szCs w:val="16"/>
              </w:rPr>
              <w:t>EUR</w:t>
            </w:r>
            <w:proofErr w:type="spellEnd"/>
            <w:r w:rsidRPr="004D08A9">
              <w:rPr>
                <w:sz w:val="16"/>
                <w:szCs w:val="16"/>
              </w:rPr>
              <w:t xml:space="preserve"> non encore alloués au titre du cadre des Fonds ESI</w:t>
            </w:r>
          </w:p>
        </w:tc>
        <w:tc>
          <w:tcPr>
            <w:tcW w:w="2266"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Instrument SURE (instrument européen de soutien temporaire à l’atténuation des risques de chômage en situation d’urgence): 100 milliards d’</w:t>
            </w:r>
            <w:proofErr w:type="spellStart"/>
            <w:r w:rsidRPr="004D08A9">
              <w:rPr>
                <w:sz w:val="16"/>
                <w:szCs w:val="16"/>
              </w:rPr>
              <w:t>EUR</w:t>
            </w:r>
            <w:proofErr w:type="spellEnd"/>
            <w:r w:rsidRPr="004D08A9">
              <w:rPr>
                <w:sz w:val="16"/>
                <w:szCs w:val="16"/>
              </w:rPr>
              <w:t>; crédits privilégiés pour soutenir les travailleurs et les indépendants; première partie du train de mesures de soutien</w:t>
            </w:r>
          </w:p>
        </w:tc>
        <w:tc>
          <w:tcPr>
            <w:tcW w:w="2838"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Règles en matière d’aides d’État: possibilité d’adapter les mesures liées à toutes les entreprises et sociétés (subventions salariales, report du versement de l’impôt sur les sociétés et de la TVA et contribution aux charges sociales); soutien financier direct aux clients (compensation des dépenses pour les services ou événements annulés); possibilité de mesures fiscales directes pour les entreprises confrontées à un risque de faillite en raison de la pandémie, indemnisation des dommages causés par la pandémie (une notification de la Commission européenne est nécessaire en l’espèce); possibilité d’autres compensations provenant de sources publiques pour les pays particulièrement touchés; possibilité d’un soutien direct allant jusqu’à 800 000 EUR par entreprise</w:t>
            </w:r>
          </w:p>
        </w:tc>
      </w:tr>
      <w:tr w:rsidR="008521B3" w:rsidRPr="004D08A9" w:rsidTr="00E61C24">
        <w:tc>
          <w:tcPr>
            <w:tcW w:w="2265"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BCE: programme d’achats d’urgence face à la pandémie: 750 milliards d’</w:t>
            </w:r>
            <w:proofErr w:type="spellStart"/>
            <w:r w:rsidRPr="004D08A9">
              <w:rPr>
                <w:sz w:val="16"/>
                <w:szCs w:val="16"/>
              </w:rPr>
              <w:t>EUR</w:t>
            </w:r>
            <w:proofErr w:type="spellEnd"/>
            <w:r w:rsidRPr="004D08A9">
              <w:rPr>
                <w:sz w:val="16"/>
                <w:szCs w:val="16"/>
              </w:rPr>
              <w:t>; programme étendu d’achats d’actifs, qui permet l’achat de titres pour soutenir la liquidité du système financier</w:t>
            </w:r>
          </w:p>
        </w:tc>
        <w:tc>
          <w:tcPr>
            <w:tcW w:w="2265"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Fonds de solidarité européen: 800 millions d’</w:t>
            </w:r>
            <w:proofErr w:type="spellStart"/>
            <w:r w:rsidRPr="004D08A9">
              <w:rPr>
                <w:sz w:val="16"/>
                <w:szCs w:val="16"/>
              </w:rPr>
              <w:t>EUR</w:t>
            </w:r>
            <w:proofErr w:type="spellEnd"/>
          </w:p>
        </w:tc>
        <w:tc>
          <w:tcPr>
            <w:tcW w:w="2266"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Fonds de garantie paneuropéen: 200 milliards d’</w:t>
            </w:r>
            <w:proofErr w:type="spellStart"/>
            <w:r w:rsidRPr="004D08A9">
              <w:rPr>
                <w:sz w:val="16"/>
                <w:szCs w:val="16"/>
              </w:rPr>
              <w:t>EUR</w:t>
            </w:r>
            <w:proofErr w:type="spellEnd"/>
            <w:r w:rsidRPr="004D08A9">
              <w:rPr>
                <w:sz w:val="16"/>
                <w:szCs w:val="16"/>
              </w:rPr>
              <w:t>; crédits privilégiés de la BEI accordés prioritairement aux PME; deuxième partie du train de mesures de soutien</w:t>
            </w:r>
          </w:p>
        </w:tc>
        <w:tc>
          <w:tcPr>
            <w:tcW w:w="2838"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Flexibilité des critères de financement public: assouplissement des justifications pour les critères de discipline des finances publiques au titre du pacte de stabilité et de croissance et du Semestre européen</w:t>
            </w:r>
          </w:p>
        </w:tc>
      </w:tr>
      <w:tr w:rsidR="008521B3" w:rsidRPr="004D08A9" w:rsidTr="00E61C24">
        <w:tc>
          <w:tcPr>
            <w:tcW w:w="2265" w:type="dxa"/>
            <w:shd w:val="clear" w:color="auto" w:fill="auto"/>
          </w:tcPr>
          <w:p w:rsidR="0077218C" w:rsidRPr="004D08A9" w:rsidRDefault="0077218C" w:rsidP="00B2380D">
            <w:pPr>
              <w:spacing w:line="288" w:lineRule="auto"/>
              <w:jc w:val="both"/>
              <w:rPr>
                <w:rFonts w:eastAsia="Calibri"/>
                <w:sz w:val="16"/>
                <w:szCs w:val="16"/>
              </w:rPr>
            </w:pPr>
          </w:p>
        </w:tc>
        <w:tc>
          <w:tcPr>
            <w:tcW w:w="2265"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Fonds européen d’ajustement à la mondialisation: 179 millions d’</w:t>
            </w:r>
            <w:proofErr w:type="spellStart"/>
            <w:r w:rsidRPr="004D08A9">
              <w:rPr>
                <w:sz w:val="16"/>
                <w:szCs w:val="16"/>
              </w:rPr>
              <w:t>EUR</w:t>
            </w:r>
            <w:proofErr w:type="spellEnd"/>
          </w:p>
        </w:tc>
        <w:tc>
          <w:tcPr>
            <w:tcW w:w="2266"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Instrument financier destiné à soutenir les PME les plus gravement touchées: 8 milliards d’</w:t>
            </w:r>
            <w:proofErr w:type="spellStart"/>
            <w:r w:rsidRPr="004D08A9">
              <w:rPr>
                <w:sz w:val="16"/>
                <w:szCs w:val="16"/>
              </w:rPr>
              <w:t>EUR</w:t>
            </w:r>
            <w:proofErr w:type="spellEnd"/>
            <w:r w:rsidRPr="004D08A9">
              <w:rPr>
                <w:sz w:val="16"/>
                <w:szCs w:val="16"/>
              </w:rPr>
              <w:t xml:space="preserve"> générés sur la base de la garantie du budget de l’UE au FEI au titre de l’</w:t>
            </w:r>
            <w:proofErr w:type="spellStart"/>
            <w:r w:rsidRPr="004D08A9">
              <w:rPr>
                <w:sz w:val="16"/>
                <w:szCs w:val="16"/>
              </w:rPr>
              <w:t>EFSI</w:t>
            </w:r>
            <w:proofErr w:type="spellEnd"/>
          </w:p>
        </w:tc>
        <w:tc>
          <w:tcPr>
            <w:tcW w:w="2838"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Annulation temporaire des droits de douane et de la TVA pour les importations d’instruments et d’équipements médicaux en provenance de pays tiers</w:t>
            </w:r>
          </w:p>
        </w:tc>
      </w:tr>
      <w:tr w:rsidR="008521B3" w:rsidRPr="004D08A9" w:rsidTr="00E61C24">
        <w:tc>
          <w:tcPr>
            <w:tcW w:w="2265" w:type="dxa"/>
            <w:shd w:val="clear" w:color="auto" w:fill="auto"/>
          </w:tcPr>
          <w:p w:rsidR="0077218C" w:rsidRPr="004D08A9" w:rsidRDefault="0077218C" w:rsidP="00B2380D">
            <w:pPr>
              <w:spacing w:line="288" w:lineRule="auto"/>
              <w:jc w:val="both"/>
              <w:rPr>
                <w:rFonts w:eastAsia="Calibri"/>
                <w:sz w:val="16"/>
                <w:szCs w:val="16"/>
              </w:rPr>
            </w:pPr>
          </w:p>
        </w:tc>
        <w:tc>
          <w:tcPr>
            <w:tcW w:w="2265" w:type="dxa"/>
            <w:shd w:val="clear" w:color="auto" w:fill="auto"/>
          </w:tcPr>
          <w:p w:rsidR="0077218C" w:rsidRPr="004D08A9" w:rsidRDefault="000838F4" w:rsidP="00B2380D">
            <w:pPr>
              <w:spacing w:line="288" w:lineRule="auto"/>
              <w:jc w:val="both"/>
              <w:rPr>
                <w:rFonts w:eastAsia="Calibri"/>
                <w:sz w:val="16"/>
                <w:szCs w:val="16"/>
              </w:rPr>
            </w:pPr>
            <w:r w:rsidRPr="004D08A9">
              <w:rPr>
                <w:sz w:val="16"/>
                <w:szCs w:val="16"/>
              </w:rPr>
              <w:t xml:space="preserve"> Souplesse accrue permettant la mobilisation de l’ensemble du soutien au titre des Fonds ESI non encore utilisés; cela permet de procéder à des virements entre le FEDER, le FSE et le Fonds de cohésion; 100 % de la couverture des coûts de projet proviennent de ressources de l’UE; souplesse dans la justification de la concentration thématique, etc.</w:t>
            </w:r>
          </w:p>
        </w:tc>
        <w:tc>
          <w:tcPr>
            <w:tcW w:w="2266" w:type="dxa"/>
            <w:shd w:val="clear" w:color="auto" w:fill="auto"/>
          </w:tcPr>
          <w:p w:rsidR="0077218C" w:rsidRPr="004D08A9" w:rsidRDefault="0077218C" w:rsidP="00B2380D">
            <w:pPr>
              <w:spacing w:line="288" w:lineRule="auto"/>
              <w:jc w:val="both"/>
              <w:rPr>
                <w:rFonts w:eastAsia="Calibri"/>
                <w:sz w:val="16"/>
                <w:szCs w:val="16"/>
              </w:rPr>
            </w:pPr>
          </w:p>
        </w:tc>
        <w:tc>
          <w:tcPr>
            <w:tcW w:w="2838" w:type="dxa"/>
            <w:shd w:val="clear" w:color="auto" w:fill="auto"/>
          </w:tcPr>
          <w:p w:rsidR="0077218C" w:rsidRPr="004D08A9" w:rsidRDefault="0077218C" w:rsidP="00B2380D">
            <w:pPr>
              <w:spacing w:line="288" w:lineRule="auto"/>
              <w:jc w:val="both"/>
              <w:rPr>
                <w:rFonts w:eastAsia="Calibri"/>
                <w:sz w:val="16"/>
                <w:szCs w:val="16"/>
              </w:rPr>
            </w:pPr>
            <w:r w:rsidRPr="004D08A9">
              <w:rPr>
                <w:sz w:val="16"/>
                <w:szCs w:val="16"/>
              </w:rPr>
              <w:t>Filtrage et protection des actifs et des technologies européens critiques</w:t>
            </w:r>
          </w:p>
        </w:tc>
      </w:tr>
    </w:tbl>
    <w:p w:rsidR="0077218C" w:rsidRPr="004D08A9" w:rsidRDefault="00107DE3" w:rsidP="00B2380D">
      <w:pPr>
        <w:pStyle w:val="Kleurrijkelijst-accent11"/>
        <w:spacing w:line="288" w:lineRule="auto"/>
        <w:ind w:left="0"/>
        <w:jc w:val="center"/>
        <w:rPr>
          <w:rFonts w:ascii="Times New Roman" w:hAnsi="Times New Roman"/>
          <w:bCs/>
          <w:sz w:val="22"/>
        </w:rPr>
      </w:pPr>
      <w:r w:rsidRPr="004D08A9">
        <w:rPr>
          <w:rFonts w:ascii="Times New Roman" w:hAnsi="Times New Roman"/>
          <w:bCs/>
          <w:sz w:val="22"/>
        </w:rPr>
        <w:t>____________________</w:t>
      </w:r>
    </w:p>
    <w:p w:rsidR="0077218C" w:rsidRPr="004D08A9" w:rsidRDefault="0077218C">
      <w:pPr>
        <w:spacing w:line="288" w:lineRule="auto"/>
        <w:rPr>
          <w:sz w:val="22"/>
          <w:szCs w:val="22"/>
        </w:rPr>
      </w:pPr>
    </w:p>
    <w:sectPr w:rsidR="0077218C" w:rsidRPr="004D08A9" w:rsidSect="004D08A9">
      <w:headerReference w:type="even" r:id="rId18"/>
      <w:headerReference w:type="default" r:id="rId19"/>
      <w:footerReference w:type="even" r:id="rId20"/>
      <w:footerReference w:type="default" r:id="rId21"/>
      <w:headerReference w:type="first" r:id="rId22"/>
      <w:footerReference w:type="first" r:id="rId2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AF7" w:rsidRDefault="006D7AF7" w:rsidP="003F0290">
      <w:r>
        <w:separator/>
      </w:r>
    </w:p>
  </w:endnote>
  <w:endnote w:type="continuationSeparator" w:id="0">
    <w:p w:rsidR="006D7AF7" w:rsidRDefault="006D7AF7" w:rsidP="003F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Times New Roman Bold"/>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A9" w:rsidRPr="004D08A9" w:rsidRDefault="004D08A9" w:rsidP="004D0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77" w:rsidRPr="004D08A9" w:rsidRDefault="004D08A9" w:rsidP="004D08A9">
    <w:pPr>
      <w:pStyle w:val="Footer"/>
    </w:pPr>
    <w:r>
      <w:t xml:space="preserve">EESC-2020-02549-00-00-RES-TRA (EN) </w:t>
    </w:r>
    <w:r>
      <w:fldChar w:fldCharType="begin"/>
    </w:r>
    <w:r>
      <w:instrText xml:space="preserve"> PAGE  \* Arabic  \* MERGEFORMAT </w:instrText>
    </w:r>
    <w:r>
      <w:fldChar w:fldCharType="separate"/>
    </w:r>
    <w:r w:rsidR="00D26822">
      <w:rPr>
        <w:noProof/>
      </w:rPr>
      <w:t>1</w:t>
    </w:r>
    <w:r>
      <w:fldChar w:fldCharType="end"/>
    </w:r>
    <w:r>
      <w:t>/</w:t>
    </w:r>
    <w:r>
      <w:fldChar w:fldCharType="begin"/>
    </w:r>
    <w:r>
      <w:instrText xml:space="preserve"> = </w:instrText>
    </w:r>
    <w:fldSimple w:instr=" NUMPAGES ">
      <w:r w:rsidR="00D26822">
        <w:rPr>
          <w:noProof/>
        </w:rPr>
        <w:instrText>25</w:instrText>
      </w:r>
    </w:fldSimple>
    <w:r>
      <w:instrText xml:space="preserve"> -0 </w:instrText>
    </w:r>
    <w:r>
      <w:fldChar w:fldCharType="separate"/>
    </w:r>
    <w:r w:rsidR="00D26822">
      <w:rPr>
        <w:noProof/>
      </w:rPr>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A9" w:rsidRPr="004D08A9" w:rsidRDefault="004D08A9" w:rsidP="004D08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4D08A9" w:rsidRDefault="00107DE3" w:rsidP="004D0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4D08A9" w:rsidRDefault="004D08A9" w:rsidP="004D08A9">
    <w:pPr>
      <w:pStyle w:val="Footer"/>
    </w:pPr>
    <w:r>
      <w:t xml:space="preserve">EESC-2020-02549-00-00-RES-TRA (EN) </w:t>
    </w:r>
    <w:r>
      <w:fldChar w:fldCharType="begin"/>
    </w:r>
    <w:r>
      <w:instrText xml:space="preserve"> PAGE  \* Arabic  \* MERGEFORMAT </w:instrText>
    </w:r>
    <w:r>
      <w:fldChar w:fldCharType="separate"/>
    </w:r>
    <w:r w:rsidR="00D26822">
      <w:rPr>
        <w:noProof/>
      </w:rPr>
      <w:t>2</w:t>
    </w:r>
    <w:r>
      <w:fldChar w:fldCharType="end"/>
    </w:r>
    <w:r>
      <w:t>/</w:t>
    </w:r>
    <w:r>
      <w:fldChar w:fldCharType="begin"/>
    </w:r>
    <w:r>
      <w:instrText xml:space="preserve"> = </w:instrText>
    </w:r>
    <w:fldSimple w:instr=" NUMPAGES ">
      <w:r w:rsidR="00D26822">
        <w:rPr>
          <w:noProof/>
        </w:rPr>
        <w:instrText>25</w:instrText>
      </w:r>
    </w:fldSimple>
    <w:r>
      <w:instrText xml:space="preserve"> -0 </w:instrText>
    </w:r>
    <w:r>
      <w:fldChar w:fldCharType="separate"/>
    </w:r>
    <w:r w:rsidR="00D26822">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4D08A9" w:rsidRDefault="00107DE3" w:rsidP="004D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AF7" w:rsidRDefault="006D7AF7" w:rsidP="003F0290">
      <w:r>
        <w:separator/>
      </w:r>
    </w:p>
  </w:footnote>
  <w:footnote w:type="continuationSeparator" w:id="0">
    <w:p w:rsidR="006D7AF7" w:rsidRDefault="006D7AF7" w:rsidP="003F0290">
      <w:r>
        <w:continuationSeparator/>
      </w:r>
    </w:p>
  </w:footnote>
  <w:footnote w:id="1">
    <w:p w:rsidR="00D85377" w:rsidRPr="004D08A9" w:rsidRDefault="00D85377" w:rsidP="004D08A9">
      <w:pPr>
        <w:pStyle w:val="FootnoteText"/>
        <w:tabs>
          <w:tab w:val="left" w:pos="567"/>
        </w:tabs>
        <w:ind w:left="567" w:hanging="567"/>
        <w:rPr>
          <w:sz w:val="16"/>
          <w:szCs w:val="16"/>
        </w:rPr>
      </w:pPr>
      <w:r w:rsidRPr="004D08A9">
        <w:rPr>
          <w:rStyle w:val="FootnoteReference"/>
        </w:rPr>
        <w:footnoteRef/>
      </w:r>
      <w:r w:rsidR="004D08A9">
        <w:rPr>
          <w:sz w:val="16"/>
          <w:szCs w:val="16"/>
        </w:rPr>
        <w:tab/>
      </w:r>
      <w:proofErr w:type="spellStart"/>
      <w:r w:rsidR="004D08A9">
        <w:rPr>
          <w:sz w:val="16"/>
          <w:szCs w:val="16"/>
        </w:rPr>
        <w:t>Georgieva</w:t>
      </w:r>
      <w:proofErr w:type="spellEnd"/>
      <w:r w:rsidR="004D08A9">
        <w:rPr>
          <w:sz w:val="16"/>
          <w:szCs w:val="16"/>
        </w:rPr>
        <w:t>, C., </w:t>
      </w:r>
      <w:r w:rsidRPr="004D08A9">
        <w:rPr>
          <w:sz w:val="16"/>
          <w:szCs w:val="16"/>
        </w:rPr>
        <w:t xml:space="preserve">2020, </w:t>
      </w:r>
      <w:r w:rsidRPr="004D08A9">
        <w:rPr>
          <w:i/>
          <w:sz w:val="16"/>
          <w:szCs w:val="16"/>
        </w:rPr>
        <w:t xml:space="preserve">The Great </w:t>
      </w:r>
      <w:proofErr w:type="spellStart"/>
      <w:r w:rsidRPr="004D08A9">
        <w:rPr>
          <w:i/>
          <w:sz w:val="16"/>
          <w:szCs w:val="16"/>
        </w:rPr>
        <w:t>Lockdown</w:t>
      </w:r>
      <w:proofErr w:type="spellEnd"/>
      <w:r w:rsidRPr="004D08A9">
        <w:rPr>
          <w:i/>
          <w:sz w:val="16"/>
          <w:szCs w:val="16"/>
        </w:rPr>
        <w:t xml:space="preserve">: Worst </w:t>
      </w:r>
      <w:proofErr w:type="spellStart"/>
      <w:r w:rsidRPr="004D08A9">
        <w:rPr>
          <w:i/>
          <w:sz w:val="16"/>
          <w:szCs w:val="16"/>
        </w:rPr>
        <w:t>Economic</w:t>
      </w:r>
      <w:proofErr w:type="spellEnd"/>
      <w:r w:rsidRPr="004D08A9">
        <w:rPr>
          <w:i/>
          <w:sz w:val="16"/>
          <w:szCs w:val="16"/>
        </w:rPr>
        <w:t xml:space="preserve"> </w:t>
      </w:r>
      <w:proofErr w:type="spellStart"/>
      <w:r w:rsidRPr="004D08A9">
        <w:rPr>
          <w:i/>
          <w:sz w:val="16"/>
          <w:szCs w:val="16"/>
        </w:rPr>
        <w:t>Downturn</w:t>
      </w:r>
      <w:proofErr w:type="spellEnd"/>
      <w:r w:rsidRPr="004D08A9">
        <w:rPr>
          <w:i/>
          <w:sz w:val="16"/>
          <w:szCs w:val="16"/>
        </w:rPr>
        <w:t xml:space="preserve"> Since the Great </w:t>
      </w:r>
      <w:proofErr w:type="spellStart"/>
      <w:r w:rsidRPr="004D08A9">
        <w:rPr>
          <w:i/>
          <w:sz w:val="16"/>
          <w:szCs w:val="16"/>
        </w:rPr>
        <w:t>Depression</w:t>
      </w:r>
      <w:proofErr w:type="spellEnd"/>
      <w:r w:rsidRPr="004D08A9">
        <w:rPr>
          <w:sz w:val="16"/>
          <w:szCs w:val="16"/>
        </w:rPr>
        <w:t xml:space="preserve"> (Le grand confinement: la plus grave crise économique depuis la Grande Dépression). Communiqué de presse n° 20/98 du FMI.</w:t>
      </w:r>
    </w:p>
  </w:footnote>
  <w:footnote w:id="2">
    <w:p w:rsidR="00D85377" w:rsidRPr="004D08A9" w:rsidRDefault="00D85377" w:rsidP="009A0B23">
      <w:pPr>
        <w:pStyle w:val="FootnoteText"/>
        <w:ind w:left="567" w:hanging="567"/>
        <w:jc w:val="both"/>
        <w:rPr>
          <w:sz w:val="16"/>
          <w:szCs w:val="16"/>
        </w:rPr>
      </w:pPr>
      <w:r w:rsidRPr="004D08A9">
        <w:rPr>
          <w:rStyle w:val="FootnoteReference"/>
        </w:rPr>
        <w:footnoteRef/>
      </w:r>
      <w:r w:rsidRPr="004D08A9">
        <w:rPr>
          <w:sz w:val="16"/>
          <w:szCs w:val="16"/>
        </w:rPr>
        <w:t xml:space="preserve"> </w:t>
      </w:r>
      <w:r w:rsidRPr="004D08A9">
        <w:rPr>
          <w:sz w:val="16"/>
          <w:szCs w:val="16"/>
        </w:rPr>
        <w:tab/>
        <w:t xml:space="preserve">Les chiffres issus des statistiques de l’UE sur le revenu et les conditions de vie (EU-SILC) révèlent une augmentation de la pauvreté et de l’exclusion sociale pour </w:t>
      </w:r>
      <w:r w:rsidR="004D08A9">
        <w:rPr>
          <w:sz w:val="16"/>
          <w:szCs w:val="16"/>
        </w:rPr>
        <w:t>les personnes handicapées entre </w:t>
      </w:r>
      <w:r w:rsidRPr="004D08A9">
        <w:rPr>
          <w:sz w:val="16"/>
          <w:szCs w:val="16"/>
        </w:rPr>
        <w:t>2010 et 2018 en Estonie, au Luxembourg, en Alle</w:t>
      </w:r>
      <w:r w:rsidR="004D08A9">
        <w:rPr>
          <w:sz w:val="16"/>
          <w:szCs w:val="16"/>
        </w:rPr>
        <w:t>magne, en Suède, en Irlande, en </w:t>
      </w:r>
      <w:r w:rsidRPr="004D08A9">
        <w:rPr>
          <w:sz w:val="16"/>
          <w:szCs w:val="16"/>
        </w:rPr>
        <w:t>Tchéquie, en Lituanie, en Italie, aux P</w:t>
      </w:r>
      <w:r w:rsidR="004D08A9">
        <w:rPr>
          <w:sz w:val="16"/>
          <w:szCs w:val="16"/>
        </w:rPr>
        <w:t>ays-Bas, à Malte et en Espagne.</w:t>
      </w:r>
    </w:p>
  </w:footnote>
  <w:footnote w:id="3">
    <w:p w:rsidR="00D85377" w:rsidRPr="004D08A9" w:rsidRDefault="00D85377" w:rsidP="00B2380D">
      <w:pPr>
        <w:pStyle w:val="FootnoteText"/>
        <w:tabs>
          <w:tab w:val="left" w:pos="567"/>
        </w:tabs>
      </w:pPr>
      <w:r w:rsidRPr="004D08A9">
        <w:rPr>
          <w:rStyle w:val="FootnoteReference"/>
        </w:rPr>
        <w:footnoteRef/>
      </w:r>
      <w:r w:rsidRPr="004D08A9">
        <w:rPr>
          <w:sz w:val="16"/>
          <w:szCs w:val="16"/>
        </w:rPr>
        <w:t xml:space="preserve"> </w:t>
      </w:r>
      <w:r w:rsidRPr="004D08A9">
        <w:rPr>
          <w:sz w:val="16"/>
          <w:szCs w:val="16"/>
        </w:rPr>
        <w:tab/>
        <w:t>Commission européenne, (DG ECFIN).</w:t>
      </w:r>
    </w:p>
  </w:footnote>
  <w:footnote w:id="4">
    <w:p w:rsidR="00D85377" w:rsidRPr="004D08A9" w:rsidRDefault="00D85377" w:rsidP="004D08A9">
      <w:pPr>
        <w:pStyle w:val="FootnoteText"/>
        <w:tabs>
          <w:tab w:val="left" w:pos="567"/>
        </w:tabs>
        <w:ind w:left="567" w:hanging="567"/>
        <w:rPr>
          <w:sz w:val="16"/>
          <w:szCs w:val="16"/>
        </w:rPr>
      </w:pPr>
      <w:r w:rsidRPr="004D08A9">
        <w:rPr>
          <w:rStyle w:val="FootnoteReference"/>
        </w:rPr>
        <w:footnoteRef/>
      </w:r>
      <w:r w:rsidRPr="004D08A9">
        <w:rPr>
          <w:sz w:val="16"/>
          <w:szCs w:val="16"/>
        </w:rPr>
        <w:t xml:space="preserve"> </w:t>
      </w:r>
      <w:r w:rsidRPr="004D08A9">
        <w:rPr>
          <w:sz w:val="16"/>
          <w:szCs w:val="16"/>
        </w:rPr>
        <w:tab/>
        <w:t xml:space="preserve">Organisation </w:t>
      </w:r>
      <w:r w:rsidR="004D08A9">
        <w:rPr>
          <w:sz w:val="16"/>
          <w:szCs w:val="16"/>
        </w:rPr>
        <w:t>internationale du travail, mars </w:t>
      </w:r>
      <w:r w:rsidRPr="004D08A9">
        <w:rPr>
          <w:sz w:val="16"/>
          <w:szCs w:val="16"/>
        </w:rPr>
        <w:t xml:space="preserve">2020, </w:t>
      </w:r>
      <w:r w:rsidRPr="004D08A9">
        <w:rPr>
          <w:i/>
          <w:sz w:val="16"/>
          <w:szCs w:val="16"/>
        </w:rPr>
        <w:t xml:space="preserve">COVID-19 </w:t>
      </w:r>
      <w:proofErr w:type="spellStart"/>
      <w:r w:rsidRPr="004D08A9">
        <w:rPr>
          <w:i/>
          <w:sz w:val="16"/>
          <w:szCs w:val="16"/>
        </w:rPr>
        <w:t>and</w:t>
      </w:r>
      <w:proofErr w:type="spellEnd"/>
      <w:r w:rsidRPr="004D08A9">
        <w:rPr>
          <w:i/>
          <w:sz w:val="16"/>
          <w:szCs w:val="16"/>
        </w:rPr>
        <w:t xml:space="preserve"> the world </w:t>
      </w:r>
      <w:proofErr w:type="spellStart"/>
      <w:r w:rsidRPr="004D08A9">
        <w:rPr>
          <w:i/>
          <w:sz w:val="16"/>
          <w:szCs w:val="16"/>
        </w:rPr>
        <w:t>of</w:t>
      </w:r>
      <w:proofErr w:type="spellEnd"/>
      <w:r w:rsidRPr="004D08A9">
        <w:rPr>
          <w:i/>
          <w:sz w:val="16"/>
          <w:szCs w:val="16"/>
        </w:rPr>
        <w:t xml:space="preserve"> work: Impact </w:t>
      </w:r>
      <w:proofErr w:type="spellStart"/>
      <w:r w:rsidRPr="004D08A9">
        <w:rPr>
          <w:i/>
          <w:sz w:val="16"/>
          <w:szCs w:val="16"/>
        </w:rPr>
        <w:t>and</w:t>
      </w:r>
      <w:proofErr w:type="spellEnd"/>
      <w:r w:rsidRPr="004D08A9">
        <w:rPr>
          <w:i/>
          <w:sz w:val="16"/>
          <w:szCs w:val="16"/>
        </w:rPr>
        <w:t xml:space="preserve"> </w:t>
      </w:r>
      <w:proofErr w:type="spellStart"/>
      <w:r w:rsidRPr="004D08A9">
        <w:rPr>
          <w:i/>
          <w:sz w:val="16"/>
          <w:szCs w:val="16"/>
        </w:rPr>
        <w:t>policy</w:t>
      </w:r>
      <w:proofErr w:type="spellEnd"/>
      <w:r w:rsidRPr="004D08A9">
        <w:rPr>
          <w:i/>
          <w:sz w:val="16"/>
          <w:szCs w:val="16"/>
        </w:rPr>
        <w:t xml:space="preserve"> </w:t>
      </w:r>
      <w:proofErr w:type="spellStart"/>
      <w:r w:rsidRPr="004D08A9">
        <w:rPr>
          <w:i/>
          <w:sz w:val="16"/>
          <w:szCs w:val="16"/>
        </w:rPr>
        <w:t>responses</w:t>
      </w:r>
      <w:proofErr w:type="spellEnd"/>
      <w:r w:rsidRPr="004D08A9">
        <w:rPr>
          <w:i/>
          <w:sz w:val="16"/>
          <w:szCs w:val="16"/>
        </w:rPr>
        <w:t xml:space="preserve"> </w:t>
      </w:r>
      <w:r w:rsidRPr="004D08A9">
        <w:rPr>
          <w:sz w:val="16"/>
          <w:szCs w:val="16"/>
        </w:rPr>
        <w:t>(COVID-19 et le monde du travail: Répercussions et recommandations politiques globales).</w:t>
      </w:r>
    </w:p>
  </w:footnote>
  <w:footnote w:id="5">
    <w:p w:rsidR="00D85377" w:rsidRPr="004D08A9" w:rsidRDefault="00D85377" w:rsidP="004D08A9">
      <w:pPr>
        <w:pStyle w:val="FootnoteText"/>
        <w:tabs>
          <w:tab w:val="left" w:pos="567"/>
        </w:tabs>
        <w:ind w:left="567" w:hanging="567"/>
        <w:rPr>
          <w:sz w:val="16"/>
          <w:szCs w:val="16"/>
        </w:rPr>
      </w:pPr>
      <w:r w:rsidRPr="004D08A9">
        <w:rPr>
          <w:rStyle w:val="FootnoteReference"/>
        </w:rPr>
        <w:footnoteRef/>
      </w:r>
      <w:r w:rsidRPr="004D08A9">
        <w:rPr>
          <w:sz w:val="16"/>
          <w:szCs w:val="16"/>
        </w:rPr>
        <w:t xml:space="preserve"> </w:t>
      </w:r>
      <w:r w:rsidRPr="004D08A9">
        <w:rPr>
          <w:sz w:val="16"/>
          <w:szCs w:val="16"/>
        </w:rPr>
        <w:tab/>
        <w:t xml:space="preserve">Commission européenne, printemps 2020, </w:t>
      </w:r>
      <w:proofErr w:type="spellStart"/>
      <w:r w:rsidRPr="004D08A9">
        <w:rPr>
          <w:i/>
          <w:sz w:val="16"/>
          <w:szCs w:val="16"/>
        </w:rPr>
        <w:t>European</w:t>
      </w:r>
      <w:proofErr w:type="spellEnd"/>
      <w:r w:rsidRPr="004D08A9">
        <w:rPr>
          <w:i/>
          <w:sz w:val="16"/>
          <w:szCs w:val="16"/>
        </w:rPr>
        <w:t xml:space="preserve"> </w:t>
      </w:r>
      <w:proofErr w:type="spellStart"/>
      <w:r w:rsidRPr="004D08A9">
        <w:rPr>
          <w:i/>
          <w:sz w:val="16"/>
          <w:szCs w:val="16"/>
        </w:rPr>
        <w:t>Economic</w:t>
      </w:r>
      <w:proofErr w:type="spellEnd"/>
      <w:r w:rsidRPr="004D08A9">
        <w:rPr>
          <w:i/>
          <w:sz w:val="16"/>
          <w:szCs w:val="16"/>
        </w:rPr>
        <w:t xml:space="preserve"> </w:t>
      </w:r>
      <w:proofErr w:type="spellStart"/>
      <w:r w:rsidRPr="004D08A9">
        <w:rPr>
          <w:i/>
          <w:sz w:val="16"/>
          <w:szCs w:val="16"/>
        </w:rPr>
        <w:t>Forecast</w:t>
      </w:r>
      <w:proofErr w:type="spellEnd"/>
      <w:r w:rsidRPr="004D08A9">
        <w:rPr>
          <w:i/>
          <w:sz w:val="16"/>
          <w:szCs w:val="16"/>
        </w:rPr>
        <w:t xml:space="preserve"> </w:t>
      </w:r>
      <w:r w:rsidRPr="004D08A9">
        <w:rPr>
          <w:sz w:val="16"/>
          <w:szCs w:val="16"/>
        </w:rPr>
        <w:t>(Prévisions économiques eu</w:t>
      </w:r>
      <w:r w:rsidR="006D6D51">
        <w:rPr>
          <w:sz w:val="16"/>
          <w:szCs w:val="16"/>
        </w:rPr>
        <w:t xml:space="preserve">ropéennes). </w:t>
      </w:r>
      <w:proofErr w:type="spellStart"/>
      <w:r w:rsidR="006D6D51">
        <w:rPr>
          <w:sz w:val="16"/>
          <w:szCs w:val="16"/>
        </w:rPr>
        <w:t>Institutional</w:t>
      </w:r>
      <w:proofErr w:type="spellEnd"/>
      <w:r w:rsidR="006D6D51">
        <w:rPr>
          <w:sz w:val="16"/>
          <w:szCs w:val="16"/>
        </w:rPr>
        <w:t xml:space="preserve"> Paper </w:t>
      </w:r>
      <w:r w:rsidRPr="004D08A9">
        <w:rPr>
          <w:sz w:val="16"/>
          <w:szCs w:val="16"/>
        </w:rPr>
        <w:t>125, mai 2020.</w:t>
      </w:r>
    </w:p>
  </w:footnote>
  <w:footnote w:id="6">
    <w:p w:rsidR="00D85377" w:rsidRPr="004D08A9" w:rsidRDefault="00D85377" w:rsidP="00B2380D">
      <w:pPr>
        <w:pStyle w:val="FootnoteText"/>
        <w:tabs>
          <w:tab w:val="left" w:pos="567"/>
        </w:tabs>
        <w:rPr>
          <w:sz w:val="16"/>
          <w:szCs w:val="16"/>
        </w:rPr>
      </w:pPr>
      <w:r w:rsidRPr="004D08A9">
        <w:rPr>
          <w:rStyle w:val="FootnoteReference"/>
        </w:rPr>
        <w:footnoteRef/>
      </w:r>
      <w:r w:rsidRPr="004D08A9">
        <w:rPr>
          <w:sz w:val="16"/>
          <w:szCs w:val="16"/>
        </w:rPr>
        <w:t xml:space="preserve"> </w:t>
      </w:r>
      <w:r w:rsidRPr="004D08A9">
        <w:rPr>
          <w:sz w:val="16"/>
          <w:szCs w:val="16"/>
        </w:rPr>
        <w:tab/>
        <w:t>Commission européenne, (DG ECFIN).</w:t>
      </w:r>
    </w:p>
  </w:footnote>
  <w:footnote w:id="7">
    <w:p w:rsidR="00D85377" w:rsidRPr="004D08A9" w:rsidRDefault="00D85377" w:rsidP="00B2380D">
      <w:pPr>
        <w:pStyle w:val="FootnoteText"/>
        <w:ind w:left="567" w:hanging="567"/>
        <w:jc w:val="both"/>
      </w:pPr>
      <w:r w:rsidRPr="004D08A9">
        <w:rPr>
          <w:rStyle w:val="FootnoteReference"/>
        </w:rPr>
        <w:footnoteRef/>
      </w:r>
      <w:r w:rsidRPr="004D08A9">
        <w:t xml:space="preserve"> </w:t>
      </w:r>
      <w:r w:rsidRPr="004D08A9">
        <w:tab/>
      </w:r>
      <w:r w:rsidRPr="004D08A9">
        <w:rPr>
          <w:sz w:val="16"/>
          <w:szCs w:val="16"/>
        </w:rPr>
        <w:t xml:space="preserve">D’après les résultats de l’enquête </w:t>
      </w:r>
      <w:r w:rsidRPr="004D08A9">
        <w:rPr>
          <w:i/>
          <w:sz w:val="16"/>
          <w:szCs w:val="16"/>
        </w:rPr>
        <w:t>Vivre, travailler et COVID-19: premières conclusions – avril 2020</w:t>
      </w:r>
      <w:r w:rsidRPr="004D08A9">
        <w:rPr>
          <w:sz w:val="16"/>
          <w:szCs w:val="16"/>
        </w:rPr>
        <w:t>, réalisée par Eurofound, le nombre de ménages sous pression financière a augmenté depuis le début de la crise, en raison des retombées économiques de la pandémie de COVID-19. Près de la moitié des personnes interrogées (47 %) ont indiqué que leur ménage éprouvait des difficultés à joindre les deux bouts. [</w:t>
      </w:r>
      <w:r w:rsidR="00E61C24" w:rsidRPr="004D08A9">
        <w:rPr>
          <w:sz w:val="16"/>
          <w:szCs w:val="16"/>
        </w:rPr>
        <w:t>..</w:t>
      </w:r>
      <w:r w:rsidRPr="004D08A9">
        <w:rPr>
          <w:sz w:val="16"/>
          <w:szCs w:val="16"/>
        </w:rPr>
        <w:t>.] Parmi les personnes qui ont définitivement perdu leur emploi pendant la crise, 90 % ont déclaré que la situation financière de leur ménage s’était détériorée, 44 % ne disposent pas d’économies et 35 % en ont juste assez pour maintenir leur niveau de</w:t>
      </w:r>
      <w:r w:rsidR="006D6D51">
        <w:rPr>
          <w:sz w:val="16"/>
          <w:szCs w:val="16"/>
        </w:rPr>
        <w:t xml:space="preserve"> vie actuel pendant trois mois.</w:t>
      </w:r>
    </w:p>
  </w:footnote>
  <w:footnote w:id="8">
    <w:p w:rsidR="00D85377" w:rsidRPr="004D08A9" w:rsidRDefault="00D85377" w:rsidP="009A0B23">
      <w:pPr>
        <w:widowControl w:val="0"/>
        <w:tabs>
          <w:tab w:val="left" w:pos="567"/>
        </w:tabs>
        <w:autoSpaceDE w:val="0"/>
        <w:autoSpaceDN w:val="0"/>
        <w:adjustRightInd w:val="0"/>
        <w:spacing w:after="240" w:line="320" w:lineRule="atLeast"/>
      </w:pPr>
      <w:r w:rsidRPr="004D08A9">
        <w:rPr>
          <w:rStyle w:val="FootnoteReference"/>
        </w:rPr>
        <w:footnoteRef/>
      </w:r>
      <w:r w:rsidR="006D6D51">
        <w:rPr>
          <w:sz w:val="16"/>
          <w:szCs w:val="16"/>
        </w:rPr>
        <w:t xml:space="preserve"> </w:t>
      </w:r>
      <w:r w:rsidR="006D6D51">
        <w:rPr>
          <w:sz w:val="16"/>
          <w:szCs w:val="16"/>
        </w:rPr>
        <w:tab/>
        <w:t>Nassim Nicholas </w:t>
      </w:r>
      <w:r w:rsidRPr="004D08A9">
        <w:rPr>
          <w:sz w:val="16"/>
          <w:szCs w:val="16"/>
        </w:rPr>
        <w:t xml:space="preserve">Taleb (2007), </w:t>
      </w:r>
      <w:r w:rsidRPr="004D08A9">
        <w:rPr>
          <w:i/>
          <w:sz w:val="16"/>
          <w:szCs w:val="16"/>
        </w:rPr>
        <w:t>Le cygne noir: la puissance de l’imprévisible</w:t>
      </w:r>
      <w:r w:rsidRPr="004D08A9">
        <w:rPr>
          <w:sz w:val="16"/>
          <w:szCs w:val="16"/>
        </w:rPr>
        <w:t>.</w:t>
      </w:r>
      <w:r w:rsidRPr="004D08A9">
        <w:rPr>
          <w:color w:val="000000"/>
          <w:sz w:val="22"/>
          <w:szCs w:val="22"/>
        </w:rPr>
        <w:t xml:space="preserve"> </w:t>
      </w:r>
    </w:p>
  </w:footnote>
  <w:footnote w:id="9">
    <w:p w:rsidR="00D85377" w:rsidRPr="004D08A9" w:rsidRDefault="00D85377" w:rsidP="00B2380D">
      <w:pPr>
        <w:autoSpaceDE w:val="0"/>
        <w:autoSpaceDN w:val="0"/>
        <w:adjustRightInd w:val="0"/>
        <w:ind w:left="567" w:hanging="567"/>
        <w:jc w:val="both"/>
        <w:rPr>
          <w:sz w:val="16"/>
          <w:szCs w:val="16"/>
        </w:rPr>
      </w:pPr>
      <w:r w:rsidRPr="004D08A9">
        <w:rPr>
          <w:rStyle w:val="FootnoteReference"/>
        </w:rPr>
        <w:footnoteRef/>
      </w:r>
      <w:r w:rsidRPr="004D08A9">
        <w:t xml:space="preserve"> </w:t>
      </w:r>
      <w:r w:rsidRPr="004D08A9">
        <w:tab/>
      </w:r>
      <w:r w:rsidRPr="004D08A9">
        <w:rPr>
          <w:color w:val="343536"/>
          <w:sz w:val="16"/>
          <w:szCs w:val="16"/>
        </w:rPr>
        <w:t>Host S., Gr</w:t>
      </w:r>
      <w:r w:rsidR="006D6D51">
        <w:rPr>
          <w:color w:val="343536"/>
          <w:sz w:val="16"/>
          <w:szCs w:val="16"/>
        </w:rPr>
        <w:t xml:space="preserve">ange D., </w:t>
      </w:r>
      <w:proofErr w:type="spellStart"/>
      <w:r w:rsidR="006D6D51">
        <w:rPr>
          <w:color w:val="343536"/>
          <w:sz w:val="16"/>
          <w:szCs w:val="16"/>
        </w:rPr>
        <w:t>Mettetal</w:t>
      </w:r>
      <w:proofErr w:type="spellEnd"/>
      <w:r w:rsidR="006D6D51">
        <w:rPr>
          <w:color w:val="343536"/>
          <w:sz w:val="16"/>
          <w:szCs w:val="16"/>
        </w:rPr>
        <w:t xml:space="preserve"> L, Dubois U., </w:t>
      </w:r>
      <w:r w:rsidRPr="004D08A9">
        <w:rPr>
          <w:color w:val="343536"/>
          <w:sz w:val="16"/>
          <w:szCs w:val="16"/>
        </w:rPr>
        <w:t xml:space="preserve">2014. </w:t>
      </w:r>
      <w:r w:rsidRPr="004D08A9">
        <w:rPr>
          <w:i/>
          <w:color w:val="343536"/>
          <w:sz w:val="16"/>
          <w:szCs w:val="16"/>
        </w:rPr>
        <w:t>Précarité énergétique et santé: état des connaissances et situation en Île-de-France</w:t>
      </w:r>
      <w:r w:rsidRPr="004D08A9">
        <w:rPr>
          <w:color w:val="343536"/>
          <w:sz w:val="16"/>
          <w:szCs w:val="16"/>
        </w:rPr>
        <w:t>, Observatoire régional de santé Île-de-France, Paris, p. 14.</w:t>
      </w:r>
    </w:p>
  </w:footnote>
  <w:footnote w:id="10">
    <w:p w:rsidR="00D85377" w:rsidRPr="004D08A9" w:rsidRDefault="00D85377" w:rsidP="009A4721">
      <w:pPr>
        <w:pStyle w:val="FootnoteText"/>
        <w:tabs>
          <w:tab w:val="left" w:pos="567"/>
        </w:tabs>
      </w:pPr>
      <w:r w:rsidRPr="004D08A9">
        <w:rPr>
          <w:rStyle w:val="FootnoteReference"/>
        </w:rPr>
        <w:footnoteRef/>
      </w:r>
      <w:r w:rsidRPr="004D08A9">
        <w:t xml:space="preserve"> </w:t>
      </w:r>
      <w:r w:rsidRPr="004D08A9">
        <w:tab/>
      </w:r>
      <w:hyperlink r:id="rId1" w:history="1">
        <w:r w:rsidRPr="004D08A9">
          <w:rPr>
            <w:rStyle w:val="Hyperlink"/>
            <w:sz w:val="16"/>
            <w:szCs w:val="16"/>
          </w:rPr>
          <w:t>https://ec.europa.eu/info/publications/2020-commission-work-programme-key-documents_fr</w:t>
        </w:r>
      </w:hyperlink>
      <w:r w:rsidRPr="004D08A9">
        <w:rPr>
          <w:sz w:val="16"/>
          <w:szCs w:val="16"/>
        </w:rPr>
        <w:t xml:space="preserve"> </w:t>
      </w:r>
    </w:p>
  </w:footnote>
  <w:footnote w:id="11">
    <w:p w:rsidR="00D85377" w:rsidRPr="004D08A9" w:rsidRDefault="00D85377" w:rsidP="00107DE3">
      <w:pPr>
        <w:pStyle w:val="FootnoteText"/>
        <w:tabs>
          <w:tab w:val="left" w:pos="567"/>
        </w:tabs>
        <w:rPr>
          <w:sz w:val="16"/>
          <w:szCs w:val="16"/>
        </w:rPr>
      </w:pPr>
      <w:r w:rsidRPr="004D08A9">
        <w:rPr>
          <w:rStyle w:val="FootnoteReference"/>
        </w:rPr>
        <w:footnoteRef/>
      </w:r>
      <w:r w:rsidRPr="004D08A9">
        <w:rPr>
          <w:vertAlign w:val="superscript"/>
        </w:rPr>
        <w:t xml:space="preserve"> </w:t>
      </w:r>
      <w:r w:rsidRPr="004D08A9">
        <w:rPr>
          <w:vertAlign w:val="superscript"/>
        </w:rPr>
        <w:tab/>
      </w:r>
      <w:r w:rsidRPr="004D08A9">
        <w:rPr>
          <w:sz w:val="16"/>
          <w:szCs w:val="16"/>
        </w:rPr>
        <w:t>Avis SC/052 du CESE sur le thème «L’avenir de l’UE: avantages pour les citoyens et respect des valeurs européennes».</w:t>
      </w:r>
    </w:p>
  </w:footnote>
  <w:footnote w:id="12">
    <w:p w:rsidR="00D85377" w:rsidRPr="004D08A9" w:rsidRDefault="00D85377" w:rsidP="009A0B23">
      <w:pPr>
        <w:pStyle w:val="FootnoteText"/>
        <w:tabs>
          <w:tab w:val="left" w:pos="567"/>
        </w:tabs>
        <w:rPr>
          <w:sz w:val="16"/>
          <w:szCs w:val="16"/>
        </w:rPr>
      </w:pPr>
      <w:r w:rsidRPr="004D08A9">
        <w:rPr>
          <w:rStyle w:val="FootnoteReference"/>
        </w:rPr>
        <w:footnoteRef/>
      </w:r>
      <w:r w:rsidRPr="004D08A9">
        <w:t xml:space="preserve"> </w:t>
      </w:r>
      <w:r w:rsidRPr="004D08A9">
        <w:tab/>
      </w:r>
      <w:r w:rsidR="006D6D51">
        <w:rPr>
          <w:sz w:val="16"/>
          <w:szCs w:val="16"/>
        </w:rPr>
        <w:t>Commission européenne, </w:t>
      </w:r>
      <w:r w:rsidRPr="004D08A9">
        <w:rPr>
          <w:sz w:val="16"/>
          <w:szCs w:val="16"/>
        </w:rPr>
        <w:t xml:space="preserve">2019, </w:t>
      </w:r>
      <w:proofErr w:type="spellStart"/>
      <w:r w:rsidRPr="004D08A9">
        <w:rPr>
          <w:i/>
          <w:sz w:val="16"/>
          <w:szCs w:val="16"/>
        </w:rPr>
        <w:t>Estimating</w:t>
      </w:r>
      <w:proofErr w:type="spellEnd"/>
      <w:r w:rsidRPr="004D08A9">
        <w:rPr>
          <w:i/>
          <w:sz w:val="16"/>
          <w:szCs w:val="16"/>
        </w:rPr>
        <w:t xml:space="preserve"> International </w:t>
      </w:r>
      <w:proofErr w:type="spellStart"/>
      <w:r w:rsidRPr="004D08A9">
        <w:rPr>
          <w:i/>
          <w:sz w:val="16"/>
          <w:szCs w:val="16"/>
        </w:rPr>
        <w:t>Tax</w:t>
      </w:r>
      <w:proofErr w:type="spellEnd"/>
      <w:r w:rsidRPr="004D08A9">
        <w:rPr>
          <w:i/>
          <w:sz w:val="16"/>
          <w:szCs w:val="16"/>
        </w:rPr>
        <w:t xml:space="preserve"> </w:t>
      </w:r>
      <w:proofErr w:type="spellStart"/>
      <w:r w:rsidRPr="004D08A9">
        <w:rPr>
          <w:i/>
          <w:sz w:val="16"/>
          <w:szCs w:val="16"/>
        </w:rPr>
        <w:t>Evasion</w:t>
      </w:r>
      <w:proofErr w:type="spellEnd"/>
      <w:r w:rsidRPr="004D08A9">
        <w:rPr>
          <w:i/>
          <w:sz w:val="16"/>
          <w:szCs w:val="16"/>
        </w:rPr>
        <w:t xml:space="preserve"> by </w:t>
      </w:r>
      <w:proofErr w:type="spellStart"/>
      <w:r w:rsidRPr="004D08A9">
        <w:rPr>
          <w:i/>
          <w:sz w:val="16"/>
          <w:szCs w:val="16"/>
        </w:rPr>
        <w:t>Individuals</w:t>
      </w:r>
      <w:proofErr w:type="spellEnd"/>
      <w:r w:rsidRPr="004D08A9">
        <w:rPr>
          <w:sz w:val="16"/>
          <w:szCs w:val="16"/>
        </w:rPr>
        <w:t xml:space="preserve">. </w:t>
      </w:r>
      <w:proofErr w:type="spellStart"/>
      <w:r w:rsidRPr="004D08A9">
        <w:rPr>
          <w:sz w:val="16"/>
          <w:szCs w:val="16"/>
        </w:rPr>
        <w:t>Working</w:t>
      </w:r>
      <w:proofErr w:type="spellEnd"/>
      <w:r w:rsidRPr="004D08A9">
        <w:rPr>
          <w:sz w:val="16"/>
          <w:szCs w:val="16"/>
        </w:rPr>
        <w:t xml:space="preserve"> Paper Nº 76 – 2019.</w:t>
      </w:r>
    </w:p>
  </w:footnote>
  <w:footnote w:id="13">
    <w:p w:rsidR="00D85377" w:rsidRPr="004D08A9" w:rsidRDefault="00D85377" w:rsidP="00B2380D">
      <w:pPr>
        <w:pStyle w:val="FootnoteText"/>
        <w:ind w:left="567" w:hanging="567"/>
        <w:jc w:val="both"/>
      </w:pPr>
      <w:r w:rsidRPr="004D08A9">
        <w:rPr>
          <w:rStyle w:val="FootnoteReference"/>
        </w:rPr>
        <w:footnoteRef/>
      </w:r>
      <w:r w:rsidRPr="004D08A9">
        <w:t xml:space="preserve"> </w:t>
      </w:r>
      <w:r w:rsidRPr="004D08A9">
        <w:tab/>
      </w:r>
      <w:r w:rsidRPr="004D08A9">
        <w:rPr>
          <w:sz w:val="16"/>
          <w:szCs w:val="16"/>
        </w:rPr>
        <w:t xml:space="preserve">Rapport du groupe de travail de haut niveau sur les investissements dans l’infrastructure sociale en Europe intitulé </w:t>
      </w:r>
      <w:r w:rsidRPr="004D08A9">
        <w:rPr>
          <w:i/>
          <w:sz w:val="16"/>
          <w:szCs w:val="16"/>
        </w:rPr>
        <w:t xml:space="preserve">Boosting </w:t>
      </w:r>
      <w:proofErr w:type="spellStart"/>
      <w:r w:rsidRPr="004D08A9">
        <w:rPr>
          <w:i/>
          <w:sz w:val="16"/>
          <w:szCs w:val="16"/>
        </w:rPr>
        <w:t>Investment</w:t>
      </w:r>
      <w:proofErr w:type="spellEnd"/>
      <w:r w:rsidRPr="004D08A9">
        <w:rPr>
          <w:i/>
          <w:sz w:val="16"/>
          <w:szCs w:val="16"/>
        </w:rPr>
        <w:t xml:space="preserve"> in Social Infrastructure in Europe</w:t>
      </w:r>
      <w:r w:rsidRPr="004D08A9">
        <w:rPr>
          <w:sz w:val="16"/>
          <w:szCs w:val="16"/>
        </w:rPr>
        <w:t xml:space="preserve"> (Renforcer l’investissement dans les infrastructures sociales en Europe), </w:t>
      </w:r>
      <w:proofErr w:type="spellStart"/>
      <w:r w:rsidRPr="004D08A9">
        <w:rPr>
          <w:sz w:val="16"/>
          <w:szCs w:val="16"/>
        </w:rPr>
        <w:t>Euro</w:t>
      </w:r>
      <w:r w:rsidR="006D6D51">
        <w:rPr>
          <w:sz w:val="16"/>
          <w:szCs w:val="16"/>
        </w:rPr>
        <w:t>pean</w:t>
      </w:r>
      <w:proofErr w:type="spellEnd"/>
      <w:r w:rsidR="006D6D51">
        <w:rPr>
          <w:sz w:val="16"/>
          <w:szCs w:val="16"/>
        </w:rPr>
        <w:t xml:space="preserve"> Economy Discussion Paper </w:t>
      </w:r>
      <w:r w:rsidRPr="004D08A9">
        <w:rPr>
          <w:sz w:val="16"/>
          <w:szCs w:val="16"/>
        </w:rPr>
        <w:t>074, janvier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A9" w:rsidRPr="004D08A9" w:rsidRDefault="004D08A9" w:rsidP="004D0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A9" w:rsidRPr="004D08A9" w:rsidRDefault="004D08A9" w:rsidP="004D0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A9" w:rsidRPr="004D08A9" w:rsidRDefault="004D08A9" w:rsidP="004D0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4D08A9" w:rsidRDefault="00107DE3" w:rsidP="004D08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4D08A9" w:rsidRDefault="00107DE3" w:rsidP="004D08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4D08A9" w:rsidRDefault="00107DE3" w:rsidP="004D0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2D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A6E68A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i w:val="0"/>
        <w:color w:val="000000" w:themeColor="text1"/>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2CA4112"/>
    <w:multiLevelType w:val="hybridMultilevel"/>
    <w:tmpl w:val="3FB68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D7EBB"/>
    <w:multiLevelType w:val="hybridMultilevel"/>
    <w:tmpl w:val="E2B4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00BF0"/>
    <w:multiLevelType w:val="hybridMultilevel"/>
    <w:tmpl w:val="7E42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C13E8"/>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4F2583"/>
    <w:multiLevelType w:val="hybridMultilevel"/>
    <w:tmpl w:val="4B14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8502B"/>
    <w:multiLevelType w:val="hybridMultilevel"/>
    <w:tmpl w:val="B29ED9F0"/>
    <w:lvl w:ilvl="0" w:tplc="9F3C273C">
      <w:numFmt w:val="bullet"/>
      <w:lvlText w:val="-"/>
      <w:lvlJc w:val="left"/>
      <w:pPr>
        <w:ind w:left="1070" w:hanging="71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514C3"/>
    <w:multiLevelType w:val="hybridMultilevel"/>
    <w:tmpl w:val="5C42E4F6"/>
    <w:lvl w:ilvl="0" w:tplc="0413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3666D"/>
    <w:multiLevelType w:val="hybridMultilevel"/>
    <w:tmpl w:val="6AAC9F00"/>
    <w:lvl w:ilvl="0" w:tplc="0413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0434861"/>
    <w:multiLevelType w:val="multilevel"/>
    <w:tmpl w:val="DC22AD78"/>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77058D"/>
    <w:multiLevelType w:val="hybridMultilevel"/>
    <w:tmpl w:val="2026921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3585632C"/>
    <w:multiLevelType w:val="hybridMultilevel"/>
    <w:tmpl w:val="DEDACB4C"/>
    <w:lvl w:ilvl="0" w:tplc="26D8816E">
      <w:start w:val="4"/>
      <w:numFmt w:val="bullet"/>
      <w:lvlText w:val="-"/>
      <w:lvlJc w:val="left"/>
      <w:pPr>
        <w:ind w:left="927" w:hanging="360"/>
      </w:pPr>
      <w:rPr>
        <w:rFonts w:ascii="Times New Roman" w:eastAsia="Calibri"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396B714F"/>
    <w:multiLevelType w:val="hybridMultilevel"/>
    <w:tmpl w:val="6916CF18"/>
    <w:lvl w:ilvl="0" w:tplc="08090001">
      <w:start w:val="1"/>
      <w:numFmt w:val="bullet"/>
      <w:lvlText w:val=""/>
      <w:lvlJc w:val="left"/>
      <w:pPr>
        <w:ind w:left="1070" w:hanging="7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567FD"/>
    <w:multiLevelType w:val="multilevel"/>
    <w:tmpl w:val="337CA514"/>
    <w:lvl w:ilvl="0">
      <w:start w:val="4"/>
      <w:numFmt w:val="decimal"/>
      <w:lvlText w:val="%1."/>
      <w:lvlJc w:val="left"/>
      <w:pPr>
        <w:ind w:left="360" w:hanging="360"/>
      </w:pPr>
      <w:rPr>
        <w:rFonts w:hint="default"/>
      </w:rPr>
    </w:lvl>
    <w:lvl w:ilvl="1">
      <w:start w:val="17"/>
      <w:numFmt w:val="decimal"/>
      <w:lvlText w:val="%1.%2."/>
      <w:lvlJc w:val="left"/>
      <w:pPr>
        <w:ind w:left="716"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DB433B"/>
    <w:multiLevelType w:val="hybridMultilevel"/>
    <w:tmpl w:val="F294BB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EA7554"/>
    <w:multiLevelType w:val="multilevel"/>
    <w:tmpl w:val="2E0E5204"/>
    <w:lvl w:ilvl="0">
      <w:start w:val="1"/>
      <w:numFmt w:val="decimal"/>
      <w:lvlText w:val="%1"/>
      <w:lvlJc w:val="left"/>
      <w:pPr>
        <w:ind w:left="1060" w:hanging="70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455688"/>
    <w:multiLevelType w:val="multilevel"/>
    <w:tmpl w:val="34E8F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7471DC"/>
    <w:multiLevelType w:val="hybridMultilevel"/>
    <w:tmpl w:val="92541556"/>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9" w15:restartNumberingAfterBreak="0">
    <w:nsid w:val="48F05DAA"/>
    <w:multiLevelType w:val="hybridMultilevel"/>
    <w:tmpl w:val="13C8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66023"/>
    <w:multiLevelType w:val="hybridMultilevel"/>
    <w:tmpl w:val="0A2EF74E"/>
    <w:lvl w:ilvl="0" w:tplc="333CF09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B5679CE"/>
    <w:multiLevelType w:val="multilevel"/>
    <w:tmpl w:val="4F3650B2"/>
    <w:lvl w:ilvl="0">
      <w:start w:val="2"/>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22" w15:restartNumberingAfterBreak="0">
    <w:nsid w:val="4C3F5A8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0B664E"/>
    <w:multiLevelType w:val="multilevel"/>
    <w:tmpl w:val="1234A16E"/>
    <w:lvl w:ilvl="0">
      <w:start w:val="4"/>
      <w:numFmt w:val="decimal"/>
      <w:lvlText w:val="%1."/>
      <w:lvlJc w:val="left"/>
      <w:pPr>
        <w:ind w:left="360" w:hanging="360"/>
      </w:pPr>
      <w:rPr>
        <w:rFonts w:hint="default"/>
      </w:rPr>
    </w:lvl>
    <w:lvl w:ilvl="1">
      <w:start w:val="30"/>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4B77C3"/>
    <w:multiLevelType w:val="multilevel"/>
    <w:tmpl w:val="B59A6C10"/>
    <w:lvl w:ilvl="0">
      <w:start w:val="4"/>
      <w:numFmt w:val="decimal"/>
      <w:lvlText w:val="%1."/>
      <w:lvlJc w:val="left"/>
      <w:pPr>
        <w:ind w:left="360" w:hanging="360"/>
      </w:pPr>
      <w:rPr>
        <w:rFonts w:hint="default"/>
      </w:rPr>
    </w:lvl>
    <w:lvl w:ilvl="1">
      <w:start w:val="18"/>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8788C"/>
    <w:multiLevelType w:val="hybridMultilevel"/>
    <w:tmpl w:val="BD2AA89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58410D71"/>
    <w:multiLevelType w:val="multilevel"/>
    <w:tmpl w:val="7870E9FC"/>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color w:val="70AD4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5462EB"/>
    <w:multiLevelType w:val="hybridMultilevel"/>
    <w:tmpl w:val="9A506FFE"/>
    <w:lvl w:ilvl="0" w:tplc="E7F67B38">
      <w:start w:val="1"/>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C05F59"/>
    <w:multiLevelType w:val="hybridMultilevel"/>
    <w:tmpl w:val="AD5A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D08B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BA431E"/>
    <w:multiLevelType w:val="multilevel"/>
    <w:tmpl w:val="160051BC"/>
    <w:lvl w:ilvl="0">
      <w:start w:val="4"/>
      <w:numFmt w:val="decimal"/>
      <w:lvlText w:val="%1."/>
      <w:lvlJc w:val="left"/>
      <w:pPr>
        <w:ind w:left="360" w:hanging="360"/>
      </w:pPr>
      <w:rPr>
        <w:rFonts w:hint="default"/>
      </w:rPr>
    </w:lvl>
    <w:lvl w:ilvl="1">
      <w:start w:val="24"/>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522B25"/>
    <w:multiLevelType w:val="multilevel"/>
    <w:tmpl w:val="D2B2978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26"/>
  </w:num>
  <w:num w:numId="2">
    <w:abstractNumId w:val="16"/>
  </w:num>
  <w:num w:numId="3">
    <w:abstractNumId w:val="22"/>
  </w:num>
  <w:num w:numId="4">
    <w:abstractNumId w:val="27"/>
  </w:num>
  <w:num w:numId="5">
    <w:abstractNumId w:val="6"/>
  </w:num>
  <w:num w:numId="6">
    <w:abstractNumId w:val="2"/>
  </w:num>
  <w:num w:numId="7">
    <w:abstractNumId w:val="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9"/>
  </w:num>
  <w:num w:numId="11">
    <w:abstractNumId w:val="17"/>
  </w:num>
  <w:num w:numId="12">
    <w:abstractNumId w:val="5"/>
  </w:num>
  <w:num w:numId="13">
    <w:abstractNumId w:val="19"/>
  </w:num>
  <w:num w:numId="14">
    <w:abstractNumId w:val="7"/>
  </w:num>
  <w:num w:numId="15">
    <w:abstractNumId w:val="13"/>
  </w:num>
  <w:num w:numId="16">
    <w:abstractNumId w:val="10"/>
  </w:num>
  <w:num w:numId="17">
    <w:abstractNumId w:val="24"/>
  </w:num>
  <w:num w:numId="18">
    <w:abstractNumId w:val="14"/>
  </w:num>
  <w:num w:numId="19">
    <w:abstractNumId w:val="30"/>
  </w:num>
  <w:num w:numId="20">
    <w:abstractNumId w:val="1"/>
  </w:num>
  <w:num w:numId="21">
    <w:abstractNumId w:val="3"/>
  </w:num>
  <w:num w:numId="22">
    <w:abstractNumId w:val="23"/>
  </w:num>
  <w:num w:numId="23">
    <w:abstractNumId w:val="0"/>
  </w:num>
  <w:num w:numId="24">
    <w:abstractNumId w:val="8"/>
  </w:num>
  <w:num w:numId="25">
    <w:abstractNumId w:val="15"/>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9"/>
  </w:num>
  <w:num w:numId="30">
    <w:abstractNumId w:val="1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283"/>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53"/>
    <w:rsid w:val="00001FE4"/>
    <w:rsid w:val="00003E48"/>
    <w:rsid w:val="0001239E"/>
    <w:rsid w:val="00012BBE"/>
    <w:rsid w:val="00016172"/>
    <w:rsid w:val="000218C4"/>
    <w:rsid w:val="000258B8"/>
    <w:rsid w:val="00026E67"/>
    <w:rsid w:val="00032DFC"/>
    <w:rsid w:val="00057B0C"/>
    <w:rsid w:val="00060E2A"/>
    <w:rsid w:val="00061ACB"/>
    <w:rsid w:val="00064A3F"/>
    <w:rsid w:val="000655AB"/>
    <w:rsid w:val="00071AFE"/>
    <w:rsid w:val="00076C7A"/>
    <w:rsid w:val="00080BB5"/>
    <w:rsid w:val="00080C0C"/>
    <w:rsid w:val="000838F4"/>
    <w:rsid w:val="000869E5"/>
    <w:rsid w:val="00091145"/>
    <w:rsid w:val="00094642"/>
    <w:rsid w:val="00094C20"/>
    <w:rsid w:val="000C5650"/>
    <w:rsid w:val="000D068E"/>
    <w:rsid w:val="000D2A7A"/>
    <w:rsid w:val="000D60E7"/>
    <w:rsid w:val="000D6C6B"/>
    <w:rsid w:val="000E26F4"/>
    <w:rsid w:val="000E5F99"/>
    <w:rsid w:val="000E7B1E"/>
    <w:rsid w:val="000F528E"/>
    <w:rsid w:val="000F5630"/>
    <w:rsid w:val="000F6BF7"/>
    <w:rsid w:val="000F765E"/>
    <w:rsid w:val="000F7D1D"/>
    <w:rsid w:val="00101F73"/>
    <w:rsid w:val="00107DE3"/>
    <w:rsid w:val="00121AF3"/>
    <w:rsid w:val="00123330"/>
    <w:rsid w:val="001258B8"/>
    <w:rsid w:val="00130791"/>
    <w:rsid w:val="00136CF3"/>
    <w:rsid w:val="00137691"/>
    <w:rsid w:val="00137A12"/>
    <w:rsid w:val="00152FC2"/>
    <w:rsid w:val="0016253D"/>
    <w:rsid w:val="00162584"/>
    <w:rsid w:val="001640B1"/>
    <w:rsid w:val="00170221"/>
    <w:rsid w:val="00172C44"/>
    <w:rsid w:val="001746AD"/>
    <w:rsid w:val="00177A6F"/>
    <w:rsid w:val="001812C7"/>
    <w:rsid w:val="001820C8"/>
    <w:rsid w:val="0018639E"/>
    <w:rsid w:val="0019290B"/>
    <w:rsid w:val="001A1562"/>
    <w:rsid w:val="001A68C0"/>
    <w:rsid w:val="001B086E"/>
    <w:rsid w:val="001B1B1F"/>
    <w:rsid w:val="001C495A"/>
    <w:rsid w:val="001C619C"/>
    <w:rsid w:val="001D438B"/>
    <w:rsid w:val="001E0A55"/>
    <w:rsid w:val="001E161C"/>
    <w:rsid w:val="001F2FB0"/>
    <w:rsid w:val="001F4A87"/>
    <w:rsid w:val="001F6BD7"/>
    <w:rsid w:val="00204BD3"/>
    <w:rsid w:val="00210375"/>
    <w:rsid w:val="00210D31"/>
    <w:rsid w:val="00216655"/>
    <w:rsid w:val="00235B69"/>
    <w:rsid w:val="00252343"/>
    <w:rsid w:val="00252FD0"/>
    <w:rsid w:val="0025540A"/>
    <w:rsid w:val="00261579"/>
    <w:rsid w:val="0026230D"/>
    <w:rsid w:val="00263CEC"/>
    <w:rsid w:val="00266062"/>
    <w:rsid w:val="002859B7"/>
    <w:rsid w:val="0028627B"/>
    <w:rsid w:val="002A0882"/>
    <w:rsid w:val="002A41D4"/>
    <w:rsid w:val="002A65C4"/>
    <w:rsid w:val="002C4277"/>
    <w:rsid w:val="002C7F63"/>
    <w:rsid w:val="002D2BD6"/>
    <w:rsid w:val="002D6BF6"/>
    <w:rsid w:val="002E54AF"/>
    <w:rsid w:val="002E5C56"/>
    <w:rsid w:val="002E7BFE"/>
    <w:rsid w:val="002F247A"/>
    <w:rsid w:val="0030320E"/>
    <w:rsid w:val="00310FBC"/>
    <w:rsid w:val="00311739"/>
    <w:rsid w:val="00320610"/>
    <w:rsid w:val="00323DEA"/>
    <w:rsid w:val="003308B7"/>
    <w:rsid w:val="00330AAA"/>
    <w:rsid w:val="003355B1"/>
    <w:rsid w:val="00342E1E"/>
    <w:rsid w:val="00350859"/>
    <w:rsid w:val="00354B90"/>
    <w:rsid w:val="00357D11"/>
    <w:rsid w:val="003603BB"/>
    <w:rsid w:val="0036137C"/>
    <w:rsid w:val="00361618"/>
    <w:rsid w:val="00366789"/>
    <w:rsid w:val="00376AAD"/>
    <w:rsid w:val="0038381F"/>
    <w:rsid w:val="00390311"/>
    <w:rsid w:val="003A666E"/>
    <w:rsid w:val="003B18D8"/>
    <w:rsid w:val="003B275B"/>
    <w:rsid w:val="003C0F83"/>
    <w:rsid w:val="003C5442"/>
    <w:rsid w:val="003C694C"/>
    <w:rsid w:val="003C6BD0"/>
    <w:rsid w:val="003C6F2E"/>
    <w:rsid w:val="003E75A5"/>
    <w:rsid w:val="003F0290"/>
    <w:rsid w:val="00403308"/>
    <w:rsid w:val="00405226"/>
    <w:rsid w:val="004148C3"/>
    <w:rsid w:val="00431635"/>
    <w:rsid w:val="00441046"/>
    <w:rsid w:val="004433AC"/>
    <w:rsid w:val="004456E0"/>
    <w:rsid w:val="004508F1"/>
    <w:rsid w:val="00453444"/>
    <w:rsid w:val="00454221"/>
    <w:rsid w:val="004637C5"/>
    <w:rsid w:val="00476939"/>
    <w:rsid w:val="004A3E7B"/>
    <w:rsid w:val="004A5401"/>
    <w:rsid w:val="004B0171"/>
    <w:rsid w:val="004B6F97"/>
    <w:rsid w:val="004C40CE"/>
    <w:rsid w:val="004D08A9"/>
    <w:rsid w:val="004D121D"/>
    <w:rsid w:val="004D1C79"/>
    <w:rsid w:val="004E2633"/>
    <w:rsid w:val="004E5855"/>
    <w:rsid w:val="004F1AD8"/>
    <w:rsid w:val="004F7587"/>
    <w:rsid w:val="00501C93"/>
    <w:rsid w:val="0051116E"/>
    <w:rsid w:val="00515119"/>
    <w:rsid w:val="00520B83"/>
    <w:rsid w:val="00521FD6"/>
    <w:rsid w:val="00525CE6"/>
    <w:rsid w:val="00526A32"/>
    <w:rsid w:val="00535C4B"/>
    <w:rsid w:val="0055660E"/>
    <w:rsid w:val="0056313A"/>
    <w:rsid w:val="00564DE5"/>
    <w:rsid w:val="005762BF"/>
    <w:rsid w:val="005A0EE2"/>
    <w:rsid w:val="005B123E"/>
    <w:rsid w:val="005B15E3"/>
    <w:rsid w:val="005B5281"/>
    <w:rsid w:val="005B779D"/>
    <w:rsid w:val="005D09DE"/>
    <w:rsid w:val="005D63C6"/>
    <w:rsid w:val="005E0E6D"/>
    <w:rsid w:val="005E31FF"/>
    <w:rsid w:val="005E6B56"/>
    <w:rsid w:val="005E7FE9"/>
    <w:rsid w:val="005F719F"/>
    <w:rsid w:val="006043A9"/>
    <w:rsid w:val="00610ECD"/>
    <w:rsid w:val="006125C4"/>
    <w:rsid w:val="006135DB"/>
    <w:rsid w:val="00616723"/>
    <w:rsid w:val="00616F5D"/>
    <w:rsid w:val="00622AEA"/>
    <w:rsid w:val="00623648"/>
    <w:rsid w:val="00625724"/>
    <w:rsid w:val="00630291"/>
    <w:rsid w:val="006326B1"/>
    <w:rsid w:val="00635DB2"/>
    <w:rsid w:val="00642D83"/>
    <w:rsid w:val="0064757D"/>
    <w:rsid w:val="00656237"/>
    <w:rsid w:val="006626F2"/>
    <w:rsid w:val="0066645C"/>
    <w:rsid w:val="006703D9"/>
    <w:rsid w:val="00670E9B"/>
    <w:rsid w:val="00680805"/>
    <w:rsid w:val="00681958"/>
    <w:rsid w:val="0069039C"/>
    <w:rsid w:val="006A3784"/>
    <w:rsid w:val="006B219F"/>
    <w:rsid w:val="006B2391"/>
    <w:rsid w:val="006B558F"/>
    <w:rsid w:val="006C5912"/>
    <w:rsid w:val="006D0AB4"/>
    <w:rsid w:val="006D1949"/>
    <w:rsid w:val="006D35C7"/>
    <w:rsid w:val="006D6D51"/>
    <w:rsid w:val="006D7AF7"/>
    <w:rsid w:val="006E3B11"/>
    <w:rsid w:val="006E63B2"/>
    <w:rsid w:val="006F0FF6"/>
    <w:rsid w:val="006F15FF"/>
    <w:rsid w:val="006F281C"/>
    <w:rsid w:val="006F46E8"/>
    <w:rsid w:val="00700541"/>
    <w:rsid w:val="00701E96"/>
    <w:rsid w:val="00704B87"/>
    <w:rsid w:val="0071110F"/>
    <w:rsid w:val="0071112B"/>
    <w:rsid w:val="00711FDE"/>
    <w:rsid w:val="00714403"/>
    <w:rsid w:val="00720647"/>
    <w:rsid w:val="00721C42"/>
    <w:rsid w:val="007278B6"/>
    <w:rsid w:val="007437C9"/>
    <w:rsid w:val="007466BA"/>
    <w:rsid w:val="00756989"/>
    <w:rsid w:val="0076351E"/>
    <w:rsid w:val="00766C4D"/>
    <w:rsid w:val="0077218C"/>
    <w:rsid w:val="00785C57"/>
    <w:rsid w:val="00796CC8"/>
    <w:rsid w:val="00797F8E"/>
    <w:rsid w:val="007A2B55"/>
    <w:rsid w:val="007B1D5D"/>
    <w:rsid w:val="007B53EF"/>
    <w:rsid w:val="007B67CC"/>
    <w:rsid w:val="007D28F1"/>
    <w:rsid w:val="007D6DC4"/>
    <w:rsid w:val="007E1E88"/>
    <w:rsid w:val="007E50F6"/>
    <w:rsid w:val="007F3B70"/>
    <w:rsid w:val="007F574E"/>
    <w:rsid w:val="007F63B9"/>
    <w:rsid w:val="008116CA"/>
    <w:rsid w:val="008221C9"/>
    <w:rsid w:val="008332A8"/>
    <w:rsid w:val="00835785"/>
    <w:rsid w:val="0084024B"/>
    <w:rsid w:val="00843655"/>
    <w:rsid w:val="00847189"/>
    <w:rsid w:val="008521B3"/>
    <w:rsid w:val="00856067"/>
    <w:rsid w:val="0086389F"/>
    <w:rsid w:val="00877D7C"/>
    <w:rsid w:val="00880812"/>
    <w:rsid w:val="00882CDC"/>
    <w:rsid w:val="00887802"/>
    <w:rsid w:val="008929E4"/>
    <w:rsid w:val="008949AD"/>
    <w:rsid w:val="008965D6"/>
    <w:rsid w:val="00897EB9"/>
    <w:rsid w:val="008B1B06"/>
    <w:rsid w:val="008D0143"/>
    <w:rsid w:val="008D10C8"/>
    <w:rsid w:val="008E635E"/>
    <w:rsid w:val="008E6CA5"/>
    <w:rsid w:val="008F0978"/>
    <w:rsid w:val="008F5C0F"/>
    <w:rsid w:val="00907EBE"/>
    <w:rsid w:val="009114ED"/>
    <w:rsid w:val="0091379B"/>
    <w:rsid w:val="00913DAC"/>
    <w:rsid w:val="00914E53"/>
    <w:rsid w:val="009157F5"/>
    <w:rsid w:val="0091675E"/>
    <w:rsid w:val="009168F6"/>
    <w:rsid w:val="0091734A"/>
    <w:rsid w:val="00920557"/>
    <w:rsid w:val="009249D5"/>
    <w:rsid w:val="00925FE9"/>
    <w:rsid w:val="00951F11"/>
    <w:rsid w:val="00956B45"/>
    <w:rsid w:val="009808B8"/>
    <w:rsid w:val="00983AF9"/>
    <w:rsid w:val="00983C93"/>
    <w:rsid w:val="00987A96"/>
    <w:rsid w:val="009976F8"/>
    <w:rsid w:val="009A0B23"/>
    <w:rsid w:val="009A4721"/>
    <w:rsid w:val="009C6A02"/>
    <w:rsid w:val="009D2A5A"/>
    <w:rsid w:val="009F385B"/>
    <w:rsid w:val="009F64F0"/>
    <w:rsid w:val="00A07379"/>
    <w:rsid w:val="00A166CB"/>
    <w:rsid w:val="00A22A13"/>
    <w:rsid w:val="00A253AE"/>
    <w:rsid w:val="00A2709C"/>
    <w:rsid w:val="00A30CE2"/>
    <w:rsid w:val="00A3115A"/>
    <w:rsid w:val="00A462DE"/>
    <w:rsid w:val="00A6210A"/>
    <w:rsid w:val="00A67265"/>
    <w:rsid w:val="00A714D0"/>
    <w:rsid w:val="00A7266C"/>
    <w:rsid w:val="00A76CB8"/>
    <w:rsid w:val="00A83605"/>
    <w:rsid w:val="00A83994"/>
    <w:rsid w:val="00A85B12"/>
    <w:rsid w:val="00A97451"/>
    <w:rsid w:val="00A974A5"/>
    <w:rsid w:val="00AA1EDD"/>
    <w:rsid w:val="00AA6923"/>
    <w:rsid w:val="00AB118D"/>
    <w:rsid w:val="00AB1897"/>
    <w:rsid w:val="00AB1AFE"/>
    <w:rsid w:val="00AB6E8C"/>
    <w:rsid w:val="00AC2959"/>
    <w:rsid w:val="00AD5AAC"/>
    <w:rsid w:val="00AE0849"/>
    <w:rsid w:val="00AF5F60"/>
    <w:rsid w:val="00AF6A36"/>
    <w:rsid w:val="00B01A97"/>
    <w:rsid w:val="00B052D2"/>
    <w:rsid w:val="00B10BA1"/>
    <w:rsid w:val="00B11494"/>
    <w:rsid w:val="00B11638"/>
    <w:rsid w:val="00B2122A"/>
    <w:rsid w:val="00B2380D"/>
    <w:rsid w:val="00B24553"/>
    <w:rsid w:val="00B30574"/>
    <w:rsid w:val="00B37115"/>
    <w:rsid w:val="00B452CF"/>
    <w:rsid w:val="00B5518F"/>
    <w:rsid w:val="00B5605F"/>
    <w:rsid w:val="00B62232"/>
    <w:rsid w:val="00B62D63"/>
    <w:rsid w:val="00B630FC"/>
    <w:rsid w:val="00B66434"/>
    <w:rsid w:val="00B66E74"/>
    <w:rsid w:val="00B72F60"/>
    <w:rsid w:val="00B7665D"/>
    <w:rsid w:val="00B76E60"/>
    <w:rsid w:val="00B77828"/>
    <w:rsid w:val="00B84CC4"/>
    <w:rsid w:val="00B8563A"/>
    <w:rsid w:val="00B91836"/>
    <w:rsid w:val="00B95777"/>
    <w:rsid w:val="00BA256C"/>
    <w:rsid w:val="00BA67B5"/>
    <w:rsid w:val="00BB7766"/>
    <w:rsid w:val="00BC2EAA"/>
    <w:rsid w:val="00BC3423"/>
    <w:rsid w:val="00BC7303"/>
    <w:rsid w:val="00BD3AB3"/>
    <w:rsid w:val="00BD65C7"/>
    <w:rsid w:val="00BD7F22"/>
    <w:rsid w:val="00BE316B"/>
    <w:rsid w:val="00BE7D18"/>
    <w:rsid w:val="00BF1667"/>
    <w:rsid w:val="00BF494D"/>
    <w:rsid w:val="00BF5446"/>
    <w:rsid w:val="00C053BA"/>
    <w:rsid w:val="00C11C6C"/>
    <w:rsid w:val="00C13CA7"/>
    <w:rsid w:val="00C14EF6"/>
    <w:rsid w:val="00C17BEB"/>
    <w:rsid w:val="00C3195F"/>
    <w:rsid w:val="00C4785E"/>
    <w:rsid w:val="00C5371F"/>
    <w:rsid w:val="00C54039"/>
    <w:rsid w:val="00C70E66"/>
    <w:rsid w:val="00C81129"/>
    <w:rsid w:val="00C8456F"/>
    <w:rsid w:val="00C93301"/>
    <w:rsid w:val="00C94EBD"/>
    <w:rsid w:val="00CA309A"/>
    <w:rsid w:val="00CA4F8A"/>
    <w:rsid w:val="00CB00A1"/>
    <w:rsid w:val="00CB3B52"/>
    <w:rsid w:val="00CC1B3E"/>
    <w:rsid w:val="00CD15AC"/>
    <w:rsid w:val="00CE0C0E"/>
    <w:rsid w:val="00CE669B"/>
    <w:rsid w:val="00CE7A2A"/>
    <w:rsid w:val="00CE7CC7"/>
    <w:rsid w:val="00CF208E"/>
    <w:rsid w:val="00CF2470"/>
    <w:rsid w:val="00CF4C4C"/>
    <w:rsid w:val="00D139C5"/>
    <w:rsid w:val="00D14957"/>
    <w:rsid w:val="00D15CC9"/>
    <w:rsid w:val="00D15E85"/>
    <w:rsid w:val="00D252D2"/>
    <w:rsid w:val="00D26822"/>
    <w:rsid w:val="00D33A60"/>
    <w:rsid w:val="00D43001"/>
    <w:rsid w:val="00D50874"/>
    <w:rsid w:val="00D566EF"/>
    <w:rsid w:val="00D66016"/>
    <w:rsid w:val="00D804B3"/>
    <w:rsid w:val="00D81B9D"/>
    <w:rsid w:val="00D839D0"/>
    <w:rsid w:val="00D83E0F"/>
    <w:rsid w:val="00D85377"/>
    <w:rsid w:val="00D916CB"/>
    <w:rsid w:val="00D91C8D"/>
    <w:rsid w:val="00D940A3"/>
    <w:rsid w:val="00DB105B"/>
    <w:rsid w:val="00DB3BB2"/>
    <w:rsid w:val="00DB45C1"/>
    <w:rsid w:val="00DD19BC"/>
    <w:rsid w:val="00DE0ADA"/>
    <w:rsid w:val="00DF0BFC"/>
    <w:rsid w:val="00DF184E"/>
    <w:rsid w:val="00DF38EF"/>
    <w:rsid w:val="00DF3E0A"/>
    <w:rsid w:val="00DF7485"/>
    <w:rsid w:val="00E17AAE"/>
    <w:rsid w:val="00E17ECD"/>
    <w:rsid w:val="00E27D19"/>
    <w:rsid w:val="00E41A8D"/>
    <w:rsid w:val="00E46E74"/>
    <w:rsid w:val="00E520D5"/>
    <w:rsid w:val="00E524E5"/>
    <w:rsid w:val="00E55459"/>
    <w:rsid w:val="00E55EA1"/>
    <w:rsid w:val="00E60975"/>
    <w:rsid w:val="00E61C24"/>
    <w:rsid w:val="00E64637"/>
    <w:rsid w:val="00E76AA5"/>
    <w:rsid w:val="00E80912"/>
    <w:rsid w:val="00E87393"/>
    <w:rsid w:val="00E9739B"/>
    <w:rsid w:val="00EC2BF8"/>
    <w:rsid w:val="00EC3E59"/>
    <w:rsid w:val="00ED4251"/>
    <w:rsid w:val="00ED7196"/>
    <w:rsid w:val="00EE01E9"/>
    <w:rsid w:val="00EE3BD5"/>
    <w:rsid w:val="00EE635E"/>
    <w:rsid w:val="00F0154A"/>
    <w:rsid w:val="00F22159"/>
    <w:rsid w:val="00F30DB9"/>
    <w:rsid w:val="00F33034"/>
    <w:rsid w:val="00F466AB"/>
    <w:rsid w:val="00F466C8"/>
    <w:rsid w:val="00F51A44"/>
    <w:rsid w:val="00F539B2"/>
    <w:rsid w:val="00F622E4"/>
    <w:rsid w:val="00F668D7"/>
    <w:rsid w:val="00F67585"/>
    <w:rsid w:val="00F7152D"/>
    <w:rsid w:val="00F71AA5"/>
    <w:rsid w:val="00F750C0"/>
    <w:rsid w:val="00F76C66"/>
    <w:rsid w:val="00F80613"/>
    <w:rsid w:val="00F80ACF"/>
    <w:rsid w:val="00F80FD8"/>
    <w:rsid w:val="00F8731D"/>
    <w:rsid w:val="00F906C7"/>
    <w:rsid w:val="00F921CA"/>
    <w:rsid w:val="00F9260A"/>
    <w:rsid w:val="00F9591B"/>
    <w:rsid w:val="00FB0A10"/>
    <w:rsid w:val="00FC0192"/>
    <w:rsid w:val="00FC348E"/>
    <w:rsid w:val="00FC559F"/>
    <w:rsid w:val="00FC6AEE"/>
    <w:rsid w:val="00FD1AE2"/>
    <w:rsid w:val="00FE30D7"/>
    <w:rsid w:val="00FE3A03"/>
    <w:rsid w:val="00FE7CD1"/>
    <w:rsid w:val="00FF1340"/>
    <w:rsid w:val="00FF42AF"/>
    <w:rsid w:val="00FF4786"/>
    <w:rsid w:val="00FF5516"/>
    <w:rsid w:val="00FF5761"/>
    <w:rsid w:val="00FF57F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efaultImageDpi w14:val="300"/>
  <w15:docId w15:val="{9D3EC7D4-3AC4-4AD9-8BA4-79C05FC8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FR"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C4B"/>
    <w:rPr>
      <w:rFonts w:ascii="Times New Roman" w:hAnsi="Times New Roman"/>
      <w:sz w:val="24"/>
      <w:szCs w:val="24"/>
      <w:lang w:eastAsia="it-IT"/>
    </w:rPr>
  </w:style>
  <w:style w:type="paragraph" w:styleId="Heading1">
    <w:name w:val="heading 1"/>
    <w:basedOn w:val="Normal"/>
    <w:next w:val="Normal"/>
    <w:link w:val="Heading1Char"/>
    <w:qFormat/>
    <w:rsid w:val="00785C57"/>
    <w:pPr>
      <w:numPr>
        <w:numId w:val="20"/>
      </w:numPr>
      <w:spacing w:line="288" w:lineRule="auto"/>
      <w:ind w:left="567" w:hanging="567"/>
      <w:jc w:val="both"/>
      <w:outlineLvl w:val="0"/>
    </w:pPr>
    <w:rPr>
      <w:rFonts w:eastAsia="Times New Roman"/>
      <w:kern w:val="28"/>
      <w:sz w:val="22"/>
      <w:szCs w:val="22"/>
      <w:lang w:eastAsia="en-US"/>
    </w:rPr>
  </w:style>
  <w:style w:type="paragraph" w:styleId="Heading2">
    <w:name w:val="heading 2"/>
    <w:basedOn w:val="Normal"/>
    <w:next w:val="Normal"/>
    <w:link w:val="Heading2Char"/>
    <w:qFormat/>
    <w:rsid w:val="00785C57"/>
    <w:pPr>
      <w:numPr>
        <w:ilvl w:val="1"/>
        <w:numId w:val="20"/>
      </w:numPr>
      <w:spacing w:line="288" w:lineRule="auto"/>
      <w:ind w:left="567" w:hanging="567"/>
      <w:jc w:val="both"/>
      <w:outlineLvl w:val="1"/>
    </w:pPr>
    <w:rPr>
      <w:rFonts w:eastAsia="Times New Roman"/>
      <w:sz w:val="22"/>
      <w:szCs w:val="22"/>
      <w:lang w:eastAsia="en-US"/>
    </w:rPr>
  </w:style>
  <w:style w:type="paragraph" w:styleId="Heading3">
    <w:name w:val="heading 3"/>
    <w:basedOn w:val="Normal"/>
    <w:next w:val="Normal"/>
    <w:link w:val="Heading3Char"/>
    <w:qFormat/>
    <w:rsid w:val="00785C57"/>
    <w:pPr>
      <w:numPr>
        <w:ilvl w:val="2"/>
        <w:numId w:val="20"/>
      </w:numPr>
      <w:spacing w:line="288" w:lineRule="auto"/>
      <w:ind w:left="567" w:hanging="567"/>
      <w:jc w:val="both"/>
      <w:outlineLvl w:val="2"/>
    </w:pPr>
    <w:rPr>
      <w:rFonts w:eastAsia="Times New Roman"/>
      <w:sz w:val="22"/>
      <w:szCs w:val="22"/>
      <w:lang w:eastAsia="en-US"/>
    </w:rPr>
  </w:style>
  <w:style w:type="paragraph" w:styleId="Heading4">
    <w:name w:val="heading 4"/>
    <w:basedOn w:val="Normal"/>
    <w:next w:val="Normal"/>
    <w:link w:val="Heading4Char"/>
    <w:qFormat/>
    <w:rsid w:val="00785C57"/>
    <w:pPr>
      <w:numPr>
        <w:ilvl w:val="3"/>
        <w:numId w:val="20"/>
      </w:numPr>
      <w:spacing w:line="288" w:lineRule="auto"/>
      <w:ind w:left="567" w:hanging="567"/>
      <w:jc w:val="both"/>
      <w:outlineLvl w:val="3"/>
    </w:pPr>
    <w:rPr>
      <w:rFonts w:eastAsia="Times New Roman"/>
      <w:sz w:val="22"/>
      <w:szCs w:val="22"/>
      <w:lang w:eastAsia="en-US"/>
    </w:rPr>
  </w:style>
  <w:style w:type="paragraph" w:styleId="Heading5">
    <w:name w:val="heading 5"/>
    <w:basedOn w:val="Normal"/>
    <w:next w:val="Normal"/>
    <w:link w:val="Heading5Char"/>
    <w:qFormat/>
    <w:rsid w:val="00785C57"/>
    <w:pPr>
      <w:numPr>
        <w:ilvl w:val="4"/>
        <w:numId w:val="20"/>
      </w:numPr>
      <w:spacing w:line="288" w:lineRule="auto"/>
      <w:ind w:left="567" w:hanging="567"/>
      <w:jc w:val="both"/>
      <w:outlineLvl w:val="4"/>
    </w:pPr>
    <w:rPr>
      <w:rFonts w:eastAsia="Times New Roman"/>
      <w:sz w:val="22"/>
      <w:szCs w:val="22"/>
      <w:lang w:eastAsia="en-US"/>
    </w:rPr>
  </w:style>
  <w:style w:type="paragraph" w:styleId="Heading6">
    <w:name w:val="heading 6"/>
    <w:basedOn w:val="Normal"/>
    <w:next w:val="Normal"/>
    <w:link w:val="Heading6Char"/>
    <w:qFormat/>
    <w:rsid w:val="00785C57"/>
    <w:pPr>
      <w:numPr>
        <w:ilvl w:val="5"/>
        <w:numId w:val="20"/>
      </w:numPr>
      <w:spacing w:line="288" w:lineRule="auto"/>
      <w:ind w:left="567" w:hanging="567"/>
      <w:jc w:val="both"/>
      <w:outlineLvl w:val="5"/>
    </w:pPr>
    <w:rPr>
      <w:rFonts w:eastAsia="Times New Roman"/>
      <w:sz w:val="22"/>
      <w:szCs w:val="22"/>
      <w:lang w:eastAsia="en-US"/>
    </w:rPr>
  </w:style>
  <w:style w:type="paragraph" w:styleId="Heading7">
    <w:name w:val="heading 7"/>
    <w:basedOn w:val="Normal"/>
    <w:next w:val="Normal"/>
    <w:link w:val="Heading7Char"/>
    <w:qFormat/>
    <w:rsid w:val="00785C57"/>
    <w:pPr>
      <w:numPr>
        <w:ilvl w:val="6"/>
        <w:numId w:val="20"/>
      </w:numPr>
      <w:spacing w:line="288" w:lineRule="auto"/>
      <w:ind w:left="567" w:hanging="567"/>
      <w:jc w:val="both"/>
      <w:outlineLvl w:val="6"/>
    </w:pPr>
    <w:rPr>
      <w:rFonts w:eastAsia="Times New Roman"/>
      <w:sz w:val="22"/>
      <w:szCs w:val="22"/>
      <w:lang w:eastAsia="en-US"/>
    </w:rPr>
  </w:style>
  <w:style w:type="paragraph" w:styleId="Heading8">
    <w:name w:val="heading 8"/>
    <w:basedOn w:val="Normal"/>
    <w:next w:val="Normal"/>
    <w:link w:val="Heading8Char"/>
    <w:qFormat/>
    <w:rsid w:val="00785C57"/>
    <w:pPr>
      <w:numPr>
        <w:ilvl w:val="7"/>
        <w:numId w:val="20"/>
      </w:numPr>
      <w:spacing w:line="288" w:lineRule="auto"/>
      <w:ind w:left="567" w:hanging="567"/>
      <w:jc w:val="both"/>
      <w:outlineLvl w:val="7"/>
    </w:pPr>
    <w:rPr>
      <w:rFonts w:eastAsia="Times New Roman"/>
      <w:sz w:val="22"/>
      <w:szCs w:val="22"/>
      <w:lang w:eastAsia="en-US"/>
    </w:rPr>
  </w:style>
  <w:style w:type="paragraph" w:styleId="Heading9">
    <w:name w:val="heading 9"/>
    <w:basedOn w:val="Normal"/>
    <w:next w:val="Normal"/>
    <w:link w:val="Heading9Char"/>
    <w:qFormat/>
    <w:rsid w:val="00785C57"/>
    <w:pPr>
      <w:numPr>
        <w:ilvl w:val="8"/>
        <w:numId w:val="20"/>
      </w:numPr>
      <w:spacing w:line="288" w:lineRule="auto"/>
      <w:ind w:left="567" w:hanging="567"/>
      <w:jc w:val="both"/>
      <w:outlineLvl w:val="8"/>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3F0290"/>
  </w:style>
  <w:style w:type="character" w:customStyle="1" w:styleId="FootnoteTextChar">
    <w:name w:val="Footnote Text Char"/>
    <w:link w:val="FootnoteText"/>
    <w:rsid w:val="003F0290"/>
    <w:rPr>
      <w:sz w:val="24"/>
      <w:szCs w:val="24"/>
    </w:rPr>
  </w:style>
  <w:style w:type="character" w:styleId="FootnoteReference">
    <w:name w:val="footnote reference"/>
    <w:unhideWhenUsed/>
    <w:qFormat/>
    <w:rsid w:val="003F0290"/>
    <w:rPr>
      <w:vertAlign w:val="superscript"/>
    </w:rPr>
  </w:style>
  <w:style w:type="paragraph" w:styleId="Footer">
    <w:name w:val="footer"/>
    <w:basedOn w:val="Normal"/>
    <w:link w:val="FooterChar"/>
    <w:uiPriority w:val="99"/>
    <w:unhideWhenUsed/>
    <w:rsid w:val="00C81129"/>
    <w:pPr>
      <w:spacing w:line="288" w:lineRule="auto"/>
      <w:jc w:val="both"/>
    </w:pPr>
    <w:rPr>
      <w:sz w:val="22"/>
    </w:rPr>
  </w:style>
  <w:style w:type="character" w:customStyle="1" w:styleId="FooterChar">
    <w:name w:val="Footer Char"/>
    <w:link w:val="Footer"/>
    <w:uiPriority w:val="99"/>
    <w:rsid w:val="00C81129"/>
    <w:rPr>
      <w:rFonts w:ascii="Times New Roman" w:hAnsi="Times New Roman"/>
      <w:sz w:val="22"/>
      <w:szCs w:val="24"/>
      <w:lang w:val="fr-FR" w:eastAsia="it-IT"/>
    </w:rPr>
  </w:style>
  <w:style w:type="character" w:styleId="PageNumber">
    <w:name w:val="page number"/>
    <w:uiPriority w:val="99"/>
    <w:semiHidden/>
    <w:unhideWhenUsed/>
    <w:rsid w:val="00C81129"/>
  </w:style>
  <w:style w:type="character" w:styleId="Hyperlink">
    <w:name w:val="Hyperlink"/>
    <w:uiPriority w:val="99"/>
    <w:unhideWhenUsed/>
    <w:rsid w:val="00610ECD"/>
    <w:rPr>
      <w:color w:val="0563C1"/>
      <w:u w:val="single"/>
    </w:rPr>
  </w:style>
  <w:style w:type="character" w:styleId="CommentReference">
    <w:name w:val="annotation reference"/>
    <w:uiPriority w:val="99"/>
    <w:semiHidden/>
    <w:unhideWhenUsed/>
    <w:rsid w:val="00D81B9D"/>
    <w:rPr>
      <w:sz w:val="16"/>
      <w:szCs w:val="16"/>
    </w:rPr>
  </w:style>
  <w:style w:type="paragraph" w:styleId="CommentText">
    <w:name w:val="annotation text"/>
    <w:basedOn w:val="Normal"/>
    <w:link w:val="CommentTextChar"/>
    <w:uiPriority w:val="99"/>
    <w:semiHidden/>
    <w:unhideWhenUsed/>
    <w:rsid w:val="00D81B9D"/>
    <w:rPr>
      <w:sz w:val="20"/>
      <w:szCs w:val="20"/>
    </w:rPr>
  </w:style>
  <w:style w:type="character" w:customStyle="1" w:styleId="CommentTextChar">
    <w:name w:val="Comment Text Char"/>
    <w:link w:val="CommentText"/>
    <w:uiPriority w:val="99"/>
    <w:semiHidden/>
    <w:rsid w:val="00D81B9D"/>
    <w:rPr>
      <w:lang w:val="fr-FR" w:eastAsia="it-IT"/>
    </w:rPr>
  </w:style>
  <w:style w:type="paragraph" w:styleId="CommentSubject">
    <w:name w:val="annotation subject"/>
    <w:basedOn w:val="CommentText"/>
    <w:next w:val="CommentText"/>
    <w:link w:val="CommentSubjectChar"/>
    <w:uiPriority w:val="99"/>
    <w:semiHidden/>
    <w:unhideWhenUsed/>
    <w:rsid w:val="00D81B9D"/>
    <w:rPr>
      <w:b/>
      <w:bCs/>
    </w:rPr>
  </w:style>
  <w:style w:type="character" w:customStyle="1" w:styleId="CommentSubjectChar">
    <w:name w:val="Comment Subject Char"/>
    <w:link w:val="CommentSubject"/>
    <w:uiPriority w:val="99"/>
    <w:semiHidden/>
    <w:rsid w:val="00D81B9D"/>
    <w:rPr>
      <w:b/>
      <w:bCs/>
      <w:lang w:val="fr-FR" w:eastAsia="it-IT"/>
    </w:rPr>
  </w:style>
  <w:style w:type="paragraph" w:styleId="BalloonText">
    <w:name w:val="Balloon Text"/>
    <w:basedOn w:val="Normal"/>
    <w:link w:val="BalloonTextChar"/>
    <w:uiPriority w:val="99"/>
    <w:semiHidden/>
    <w:unhideWhenUsed/>
    <w:rsid w:val="00D81B9D"/>
    <w:rPr>
      <w:rFonts w:ascii="Segoe UI" w:hAnsi="Segoe UI" w:cs="Segoe UI"/>
      <w:sz w:val="18"/>
      <w:szCs w:val="18"/>
    </w:rPr>
  </w:style>
  <w:style w:type="character" w:customStyle="1" w:styleId="BalloonTextChar">
    <w:name w:val="Balloon Text Char"/>
    <w:link w:val="BalloonText"/>
    <w:uiPriority w:val="99"/>
    <w:semiHidden/>
    <w:rsid w:val="00D81B9D"/>
    <w:rPr>
      <w:rFonts w:ascii="Segoe UI" w:hAnsi="Segoe UI" w:cs="Segoe UI"/>
      <w:sz w:val="18"/>
      <w:szCs w:val="18"/>
      <w:lang w:val="fr-FR" w:eastAsia="it-IT"/>
    </w:rPr>
  </w:style>
  <w:style w:type="paragraph" w:customStyle="1" w:styleId="Kleurrijkelijst-accent11">
    <w:name w:val="Kleurrijke lijst - accent 11"/>
    <w:basedOn w:val="Normal"/>
    <w:uiPriority w:val="34"/>
    <w:qFormat/>
    <w:rsid w:val="005E6B56"/>
    <w:pPr>
      <w:spacing w:line="280" w:lineRule="exact"/>
      <w:ind w:left="720"/>
      <w:contextualSpacing/>
    </w:pPr>
    <w:rPr>
      <w:rFonts w:ascii="Georgia" w:eastAsia="Calibri" w:hAnsi="Georgia"/>
      <w:sz w:val="18"/>
      <w:szCs w:val="22"/>
      <w:lang w:eastAsia="en-US"/>
    </w:rPr>
  </w:style>
  <w:style w:type="character" w:customStyle="1" w:styleId="Heading1Char">
    <w:name w:val="Heading 1 Char"/>
    <w:link w:val="Heading1"/>
    <w:rsid w:val="00785C57"/>
    <w:rPr>
      <w:rFonts w:ascii="Times New Roman" w:eastAsia="Times New Roman" w:hAnsi="Times New Roman"/>
      <w:kern w:val="28"/>
      <w:sz w:val="22"/>
      <w:szCs w:val="22"/>
      <w:lang w:val="fr-FR" w:eastAsia="en-US"/>
    </w:rPr>
  </w:style>
  <w:style w:type="character" w:customStyle="1" w:styleId="Heading2Char">
    <w:name w:val="Heading 2 Char"/>
    <w:link w:val="Heading2"/>
    <w:rsid w:val="00785C57"/>
    <w:rPr>
      <w:rFonts w:ascii="Times New Roman" w:eastAsia="Times New Roman" w:hAnsi="Times New Roman"/>
      <w:sz w:val="22"/>
      <w:szCs w:val="22"/>
      <w:lang w:val="fr-FR" w:eastAsia="en-US"/>
    </w:rPr>
  </w:style>
  <w:style w:type="character" w:customStyle="1" w:styleId="Heading3Char">
    <w:name w:val="Heading 3 Char"/>
    <w:link w:val="Heading3"/>
    <w:rsid w:val="00785C57"/>
    <w:rPr>
      <w:rFonts w:ascii="Times New Roman" w:eastAsia="Times New Roman" w:hAnsi="Times New Roman"/>
      <w:sz w:val="22"/>
      <w:szCs w:val="22"/>
      <w:lang w:val="fr-FR" w:eastAsia="en-US"/>
    </w:rPr>
  </w:style>
  <w:style w:type="character" w:customStyle="1" w:styleId="Heading4Char">
    <w:name w:val="Heading 4 Char"/>
    <w:link w:val="Heading4"/>
    <w:rsid w:val="00785C57"/>
    <w:rPr>
      <w:rFonts w:ascii="Times New Roman" w:eastAsia="Times New Roman" w:hAnsi="Times New Roman"/>
      <w:sz w:val="22"/>
      <w:szCs w:val="22"/>
      <w:lang w:val="fr-FR" w:eastAsia="en-US"/>
    </w:rPr>
  </w:style>
  <w:style w:type="character" w:customStyle="1" w:styleId="Heading5Char">
    <w:name w:val="Heading 5 Char"/>
    <w:link w:val="Heading5"/>
    <w:rsid w:val="00785C57"/>
    <w:rPr>
      <w:rFonts w:ascii="Times New Roman" w:eastAsia="Times New Roman" w:hAnsi="Times New Roman"/>
      <w:sz w:val="22"/>
      <w:szCs w:val="22"/>
      <w:lang w:val="fr-FR" w:eastAsia="en-US"/>
    </w:rPr>
  </w:style>
  <w:style w:type="character" w:customStyle="1" w:styleId="Heading6Char">
    <w:name w:val="Heading 6 Char"/>
    <w:link w:val="Heading6"/>
    <w:rsid w:val="00785C57"/>
    <w:rPr>
      <w:rFonts w:ascii="Times New Roman" w:eastAsia="Times New Roman" w:hAnsi="Times New Roman"/>
      <w:sz w:val="22"/>
      <w:szCs w:val="22"/>
      <w:lang w:val="fr-FR" w:eastAsia="en-US"/>
    </w:rPr>
  </w:style>
  <w:style w:type="character" w:customStyle="1" w:styleId="Heading7Char">
    <w:name w:val="Heading 7 Char"/>
    <w:link w:val="Heading7"/>
    <w:rsid w:val="00785C57"/>
    <w:rPr>
      <w:rFonts w:ascii="Times New Roman" w:eastAsia="Times New Roman" w:hAnsi="Times New Roman"/>
      <w:sz w:val="22"/>
      <w:szCs w:val="22"/>
      <w:lang w:val="fr-FR" w:eastAsia="en-US"/>
    </w:rPr>
  </w:style>
  <w:style w:type="character" w:customStyle="1" w:styleId="Heading8Char">
    <w:name w:val="Heading 8 Char"/>
    <w:link w:val="Heading8"/>
    <w:rsid w:val="00785C57"/>
    <w:rPr>
      <w:rFonts w:ascii="Times New Roman" w:eastAsia="Times New Roman" w:hAnsi="Times New Roman"/>
      <w:sz w:val="22"/>
      <w:szCs w:val="22"/>
      <w:lang w:val="fr-FR" w:eastAsia="en-US"/>
    </w:rPr>
  </w:style>
  <w:style w:type="character" w:customStyle="1" w:styleId="Heading9Char">
    <w:name w:val="Heading 9 Char"/>
    <w:link w:val="Heading9"/>
    <w:rsid w:val="00785C57"/>
    <w:rPr>
      <w:rFonts w:ascii="Times New Roman" w:eastAsia="Times New Roman" w:hAnsi="Times New Roman"/>
      <w:sz w:val="22"/>
      <w:szCs w:val="22"/>
      <w:lang w:val="fr-FR" w:eastAsia="en-US"/>
    </w:rPr>
  </w:style>
  <w:style w:type="paragraph" w:styleId="ListParagraph">
    <w:name w:val="List Paragraph"/>
    <w:basedOn w:val="Normal"/>
    <w:uiPriority w:val="34"/>
    <w:qFormat/>
    <w:rsid w:val="007D6DC4"/>
    <w:pPr>
      <w:spacing w:line="280" w:lineRule="exact"/>
      <w:ind w:left="720"/>
      <w:contextualSpacing/>
    </w:pPr>
    <w:rPr>
      <w:rFonts w:ascii="Georgia" w:eastAsia="Calibri" w:hAnsi="Georgia"/>
      <w:sz w:val="18"/>
      <w:szCs w:val="22"/>
      <w:lang w:eastAsia="en-US"/>
    </w:rPr>
  </w:style>
  <w:style w:type="paragraph" w:styleId="Revision">
    <w:name w:val="Revision"/>
    <w:hidden/>
    <w:uiPriority w:val="71"/>
    <w:rsid w:val="005D63C6"/>
    <w:rPr>
      <w:sz w:val="24"/>
      <w:szCs w:val="24"/>
      <w:lang w:eastAsia="it-IT"/>
    </w:rPr>
  </w:style>
  <w:style w:type="paragraph" w:styleId="Date">
    <w:name w:val="Date"/>
    <w:basedOn w:val="Normal"/>
    <w:next w:val="Normal"/>
    <w:link w:val="DateChar"/>
    <w:uiPriority w:val="99"/>
    <w:semiHidden/>
    <w:unhideWhenUsed/>
    <w:rsid w:val="001F6BD7"/>
  </w:style>
  <w:style w:type="character" w:customStyle="1" w:styleId="DateChar">
    <w:name w:val="Date Char"/>
    <w:basedOn w:val="DefaultParagraphFont"/>
    <w:link w:val="Date"/>
    <w:uiPriority w:val="99"/>
    <w:semiHidden/>
    <w:rsid w:val="001F6BD7"/>
    <w:rPr>
      <w:sz w:val="24"/>
      <w:szCs w:val="24"/>
      <w:lang w:val="fr-FR" w:eastAsia="it-IT"/>
    </w:rPr>
  </w:style>
  <w:style w:type="paragraph" w:styleId="NormalWeb">
    <w:name w:val="Normal (Web)"/>
    <w:basedOn w:val="Normal"/>
    <w:uiPriority w:val="99"/>
    <w:semiHidden/>
    <w:unhideWhenUsed/>
    <w:rsid w:val="00B72F60"/>
    <w:pPr>
      <w:spacing w:before="100" w:beforeAutospacing="1" w:after="100" w:afterAutospacing="1"/>
    </w:pPr>
    <w:rPr>
      <w:sz w:val="20"/>
      <w:szCs w:val="20"/>
    </w:rPr>
  </w:style>
  <w:style w:type="paragraph" w:styleId="Header">
    <w:name w:val="header"/>
    <w:basedOn w:val="Normal"/>
    <w:link w:val="HeaderChar"/>
    <w:uiPriority w:val="99"/>
    <w:unhideWhenUsed/>
    <w:rsid w:val="00107DE3"/>
    <w:pPr>
      <w:spacing w:line="288" w:lineRule="auto"/>
      <w:jc w:val="both"/>
    </w:pPr>
    <w:rPr>
      <w:sz w:val="22"/>
    </w:rPr>
  </w:style>
  <w:style w:type="character" w:customStyle="1" w:styleId="HeaderChar">
    <w:name w:val="Header Char"/>
    <w:basedOn w:val="DefaultParagraphFont"/>
    <w:link w:val="Header"/>
    <w:uiPriority w:val="99"/>
    <w:rsid w:val="00107DE3"/>
    <w:rPr>
      <w:rFonts w:ascii="Times New Roman" w:hAnsi="Times New Roman"/>
      <w:sz w:val="22"/>
      <w:szCs w:val="24"/>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09165">
      <w:bodyDiv w:val="1"/>
      <w:marLeft w:val="0"/>
      <w:marRight w:val="0"/>
      <w:marTop w:val="0"/>
      <w:marBottom w:val="0"/>
      <w:divBdr>
        <w:top w:val="none" w:sz="0" w:space="0" w:color="auto"/>
        <w:left w:val="none" w:sz="0" w:space="0" w:color="auto"/>
        <w:bottom w:val="none" w:sz="0" w:space="0" w:color="auto"/>
        <w:right w:val="none" w:sz="0" w:space="0" w:color="auto"/>
      </w:divBdr>
    </w:div>
    <w:div w:id="786891241">
      <w:bodyDiv w:val="1"/>
      <w:marLeft w:val="0"/>
      <w:marRight w:val="0"/>
      <w:marTop w:val="0"/>
      <w:marBottom w:val="0"/>
      <w:divBdr>
        <w:top w:val="none" w:sz="0" w:space="0" w:color="auto"/>
        <w:left w:val="none" w:sz="0" w:space="0" w:color="auto"/>
        <w:bottom w:val="none" w:sz="0" w:space="0" w:color="auto"/>
        <w:right w:val="none" w:sz="0" w:space="0" w:color="auto"/>
      </w:divBdr>
    </w:div>
    <w:div w:id="1420369942">
      <w:bodyDiv w:val="1"/>
      <w:marLeft w:val="0"/>
      <w:marRight w:val="0"/>
      <w:marTop w:val="0"/>
      <w:marBottom w:val="0"/>
      <w:divBdr>
        <w:top w:val="none" w:sz="0" w:space="0" w:color="auto"/>
        <w:left w:val="none" w:sz="0" w:space="0" w:color="auto"/>
        <w:bottom w:val="none" w:sz="0" w:space="0" w:color="auto"/>
        <w:right w:val="none" w:sz="0" w:space="0" w:color="auto"/>
      </w:divBdr>
    </w:div>
    <w:div w:id="1618558367">
      <w:bodyDiv w:val="1"/>
      <w:marLeft w:val="0"/>
      <w:marRight w:val="0"/>
      <w:marTop w:val="0"/>
      <w:marBottom w:val="0"/>
      <w:divBdr>
        <w:top w:val="none" w:sz="0" w:space="0" w:color="auto"/>
        <w:left w:val="none" w:sz="0" w:space="0" w:color="auto"/>
        <w:bottom w:val="none" w:sz="0" w:space="0" w:color="auto"/>
        <w:right w:val="none" w:sz="0" w:space="0" w:color="auto"/>
      </w:divBdr>
    </w:div>
    <w:div w:id="21037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publications/2020-commission-work-programme-key-documents_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24A67B585C316428632A8520FD87D85" ma:contentTypeVersion="4" ma:contentTypeDescription="Defines the documents for Document Manager V2" ma:contentTypeScope="" ma:versionID="7ace0c734ee3fcf8eeec41f2ae65c711">
  <xsd:schema xmlns:xsd="http://www.w3.org/2001/XMLSchema" xmlns:xs="http://www.w3.org/2001/XMLSchema" xmlns:p="http://schemas.microsoft.com/office/2006/metadata/properties" xmlns:ns2="cda99570-6012-4083-bfeb-7d32ad1ce1a3" xmlns:ns3="http://schemas.microsoft.com/sharepoint/v3/fields" xmlns:ns4="73bac5c4-8a91-4dc7-b814-def809a8194f" targetNamespace="http://schemas.microsoft.com/office/2006/metadata/properties" ma:root="true" ma:fieldsID="45710bd41127e21873434a4f5fbbc3a7" ns2:_="" ns3:_="" ns4:_="">
    <xsd:import namespace="cda99570-6012-4083-bfeb-7d32ad1ce1a3"/>
    <xsd:import namespace="http://schemas.microsoft.com/sharepoint/v3/fields"/>
    <xsd:import namespace="73bac5c4-8a91-4dc7-b814-def809a819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bac5c4-8a91-4dc7-b814-def809a819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VV634QRNENMJ-1826176032-3256</_dlc_DocId>
    <_dlc_DocIdUrl xmlns="cda99570-6012-4083-bfeb-7d32ad1ce1a3">
      <Url>http://dm2016/eesc/2020/_layouts/15/DocIdRedir.aspx?ID=VV634QRNENMJ-1826176032-3256</Url>
      <Description>VV634QRNENMJ-1826176032-3256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PRES</TermName>
          <TermId xmlns="http://schemas.microsoft.com/office/infopath/2007/PartnerControls">525a421d-ee0e-483d-908c-c63fd6071ecc</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2020-06-08T12:00:00+00:00</ProductionDate>
    <FicheYear xmlns="cda99570-6012-4083-bfeb-7d32ad1ce1a3">2020</FicheYear>
    <DocumentNumber xmlns="73bac5c4-8a91-4dc7-b814-def809a8194f">2549</DocumentNumber>
    <DocumentVersion xmlns="cda99570-6012-4083-bfeb-7d32ad1ce1a3">2</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2020-06-09T12:00:00+00:00</MeetingDate>
    <TaxCatchAll xmlns="cda99570-6012-4083-bfeb-7d32ad1ce1a3">
      <Value>86</Value>
      <Value>180</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5683</FicheNumber>
    <DocumentPart xmlns="cda99570-6012-4083-bfeb-7d32ad1ce1a3">0</DocumentPart>
    <AdoptionDate xmlns="cda99570-6012-4083-bfeb-7d32ad1ce1a3">2020-06-10T12:00:00+00:00</AdoptionDate>
    <RequestingService xmlns="cda99570-6012-4083-bfeb-7d32ad1ce1a3">Coordination législative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3bac5c4-8a91-4dc7-b814-def809a8194f"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210D7026-4BC5-4AF7-85CF-6050CDAB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73bac5c4-8a91-4dc7-b814-def809a81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4541A-7F1A-44B4-9948-F60CA8FD40F1}">
  <ds:schemaRefs>
    <ds:schemaRef ds:uri="http://schemas.microsoft.com/sharepoint/events"/>
  </ds:schemaRefs>
</ds:datastoreItem>
</file>

<file path=customXml/itemProps3.xml><?xml version="1.0" encoding="utf-8"?>
<ds:datastoreItem xmlns:ds="http://schemas.openxmlformats.org/officeDocument/2006/customXml" ds:itemID="{FE049521-20EF-4611-A43F-035A6A86877C}">
  <ds:schemaRefs>
    <ds:schemaRef ds:uri="http://schemas.microsoft.com/sharepoint/v3/contenttype/forms"/>
  </ds:schemaRefs>
</ds:datastoreItem>
</file>

<file path=customXml/itemProps4.xml><?xml version="1.0" encoding="utf-8"?>
<ds:datastoreItem xmlns:ds="http://schemas.openxmlformats.org/officeDocument/2006/customXml" ds:itemID="{AEFA897A-A01C-4568-B5C1-4304AACACB9B}">
  <ds:schemaRefs>
    <ds:schemaRef ds:uri="http://purl.org/dc/elements/1.1/"/>
    <ds:schemaRef ds:uri="http://schemas.microsoft.com/office/2006/metadata/properties"/>
    <ds:schemaRef ds:uri="cda99570-6012-4083-bfeb-7d32ad1ce1a3"/>
    <ds:schemaRef ds:uri="http://schemas.microsoft.com/office/infopath/2007/PartnerControls"/>
    <ds:schemaRef ds:uri="http://purl.org/dc/terms/"/>
    <ds:schemaRef ds:uri="73bac5c4-8a91-4dc7-b814-def809a8194f"/>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25</Pages>
  <Words>12434</Words>
  <Characters>70876</Characters>
  <Application>Microsoft Office Word</Application>
  <DocSecurity>0</DocSecurity>
  <Lines>590</Lines>
  <Paragraphs>166</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Titolo</vt:lpstr>
      </vt:variant>
      <vt:variant>
        <vt:i4>1</vt:i4>
      </vt:variant>
    </vt:vector>
  </HeadingPairs>
  <TitlesOfParts>
    <vt:vector size="4" baseType="lpstr">
      <vt:lpstr>EESC Proposals for Post-COVID crisis reconstruction and recovery</vt:lpstr>
      <vt:lpstr/>
      <vt:lpstr/>
      <vt:lpstr/>
    </vt:vector>
  </TitlesOfParts>
  <Company/>
  <LinksUpToDate>false</LinksUpToDate>
  <CharactersWithSpaces>83144</CharactersWithSpaces>
  <SharedDoc>false</SharedDoc>
  <HLinks>
    <vt:vector size="6" baseType="variant">
      <vt:variant>
        <vt:i4>852045</vt:i4>
      </vt:variant>
      <vt:variant>
        <vt:i4>0</vt:i4>
      </vt:variant>
      <vt:variant>
        <vt:i4>0</vt:i4>
      </vt:variant>
      <vt:variant>
        <vt:i4>5</vt:i4>
      </vt:variant>
      <vt:variant>
        <vt:lpwstr>https://www.consilium.europa.eu/en/press/press-releases/2020/04/09/report-on-the-comprehensive-economic-policy-response-to-the-covid-19-pandemic/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Proposals for Post-COVID crisis reconstruction and recovery</dc:title>
  <dc:subject>Draft resolution</dc:subject>
  <dc:creator>Stefano Palmieri</dc:creator>
  <cp:keywords>EESC-2020-02549-00-02-PRES-TRA-EN</cp:keywords>
  <dc:description>Rapporteur: -  Original language: - EN Date of document: - 08/06/2020 Date of meeting: - 09/06/2020 External documents: -  Administrator responsible: - M. COSMAI Domenico</dc:description>
  <cp:lastModifiedBy>Calvy Sonia</cp:lastModifiedBy>
  <cp:revision>2</cp:revision>
  <dcterms:created xsi:type="dcterms:W3CDTF">2020-06-12T12:30:00Z</dcterms:created>
  <dcterms:modified xsi:type="dcterms:W3CDTF">2020-06-12T12:30:00Z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11/06/2020, 08/06/2020, 05/06/2020</vt:lpwstr>
  </property>
  <property fmtid="{D5CDD505-2E9C-101B-9397-08002B2CF9AE}" pid="4" name="Pref_Time">
    <vt:lpwstr>09:56:31, 17:57:49, 16:51:19</vt:lpwstr>
  </property>
  <property fmtid="{D5CDD505-2E9C-101B-9397-08002B2CF9AE}" pid="5" name="Pref_User">
    <vt:lpwstr>mkop, enied, enied</vt:lpwstr>
  </property>
  <property fmtid="{D5CDD505-2E9C-101B-9397-08002B2CF9AE}" pid="6" name="Pref_FileName">
    <vt:lpwstr>EESC-2020-02549-00-00-RES-ORI.docx, EESC-2020-02549-00-02-PRES-TRA-EN.docx, 05-06 joint rapporteurs' document_15 - FINAL - EN with TC.docx</vt:lpwstr>
  </property>
  <property fmtid="{D5CDD505-2E9C-101B-9397-08002B2CF9AE}" pid="7" name="ContentTypeId">
    <vt:lpwstr>0x010100EA97B91038054C99906057A708A1480A00524A67B585C316428632A8520FD87D85</vt:lpwstr>
  </property>
  <property fmtid="{D5CDD505-2E9C-101B-9397-08002B2CF9AE}" pid="8" name="_dlc_DocIdItemGuid">
    <vt:lpwstr>910fdfd8-fd0e-41ce-a601-4fe8b567e0e2</vt:lpwstr>
  </property>
  <property fmtid="{D5CDD505-2E9C-101B-9397-08002B2CF9AE}" pid="9" name="AvailableTranslations">
    <vt:lpwstr>40;#SV|c2ed69e7-a339-43d7-8f22-d93680a92aa0;#41;#NL|55c6556c-b4f4-441d-9acf-c498d4f838bd;#29;#PT|50ccc04a-eadd-42ae-a0cb-acaf45f812ba;#48;#RO|feb747a2-64cd-4299-af12-4833ddc30497;#24;#LV|46f7e311-5d9f-4663-b433-18aeccb7ace7;#43;#HR|2f555653-ed1a-4fe6-8362</vt:lpwstr>
  </property>
  <property fmtid="{D5CDD505-2E9C-101B-9397-08002B2CF9AE}" pid="10" name="DocumentType_0">
    <vt:lpwstr>PRES|525a421d-ee0e-483d-908c-c63fd6071ecc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FicheYear">
    <vt:i4>2020</vt:i4>
  </property>
  <property fmtid="{D5CDD505-2E9C-101B-9397-08002B2CF9AE}" pid="15" name="DocumentVersion">
    <vt:i4>2</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AdoptionDate">
    <vt:filetime>2020-06-10T12:00:00Z</vt:filetime>
  </property>
  <property fmtid="{D5CDD505-2E9C-101B-9397-08002B2CF9AE}" pid="21" name="DocumentType">
    <vt:lpwstr>180;#PRES|525a421d-ee0e-483d-908c-c63fd6071ecc</vt:lpwstr>
  </property>
  <property fmtid="{D5CDD505-2E9C-101B-9397-08002B2CF9AE}" pid="22" name="RequestingService">
    <vt:lpwstr>Coordination législative</vt:lpwstr>
  </property>
  <property fmtid="{D5CDD505-2E9C-101B-9397-08002B2CF9AE}" pid="23" name="Confidentiality">
    <vt:lpwstr>5;#Unrestricted|826e22d7-d029-4ec0-a450-0c28ff673572</vt:lpwstr>
  </property>
  <property fmtid="{D5CDD505-2E9C-101B-9397-08002B2CF9AE}" pid="24" name="MeetingName_0">
    <vt:lpwstr>BUR CESE|4274fb1d-1fa2-4436-baac-f79426b09598</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86;#BUR CESE|4274fb1d-1fa2-4436-baac-f79426b09598</vt:lpwstr>
  </property>
  <property fmtid="{D5CDD505-2E9C-101B-9397-08002B2CF9AE}" pid="28" name="MeetingDate">
    <vt:filetime>2020-06-09T12:00:00Z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180;#PRES|525a421d-ee0e-483d-908c-c63fd6071ecc;#1;#EESC|422833ec-8d7e-4e65-8e4e-8bed07ffb729;#6;#Final|ea5e6674-7b27-4bac-b091-73adbb394efe;#5;#Unrestricted|826e22d7-d029-4ec0-a450-0c28ff673572;#4;#EN|f2175f21-25d7-44a3-96da-d6a61b075e1b;#2;#TRA|150d2a88-</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5683</vt:i4>
  </property>
  <property fmtid="{D5CDD505-2E9C-101B-9397-08002B2CF9AE}" pid="37" name="DocumentLanguage">
    <vt:lpwstr>4;#EN|f2175f21-25d7-44a3-96da-d6a61b075e1b</vt:lpwstr>
  </property>
  <property fmtid="{D5CDD505-2E9C-101B-9397-08002B2CF9AE}" pid="38" name="_docset_NoMedatataSyncRequired">
    <vt:lpwstr>False</vt:lpwstr>
  </property>
</Properties>
</file>